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9033" w14:textId="77777777" w:rsidR="00D21C51" w:rsidRPr="00D21C51" w:rsidRDefault="00D21C51" w:rsidP="00D21C51">
      <w:pPr>
        <w:pStyle w:val="1"/>
        <w:rPr>
          <w:rFonts w:ascii="Times New Roman" w:hAnsi="Times New Roman"/>
          <w:lang w:val="ru-RU"/>
        </w:rPr>
      </w:pPr>
      <w:r w:rsidRPr="00D21C51">
        <w:rPr>
          <w:rFonts w:ascii="Times New Roman" w:hAnsi="Times New Roman"/>
          <w:lang w:val="ru-RU"/>
        </w:rPr>
        <w:t>ТЕХНИЧЕСКОЕ ЗАДАНИЕ</w:t>
      </w:r>
    </w:p>
    <w:p w14:paraId="712FE16E" w14:textId="66CF2D66" w:rsidR="00084926" w:rsidRPr="00D21C51" w:rsidRDefault="00084926" w:rsidP="00CB4A2F">
      <w:pPr>
        <w:pStyle w:val="1"/>
        <w:ind w:left="0" w:right="-138" w:firstLine="0"/>
        <w:rPr>
          <w:rFonts w:ascii="Times New Roman" w:hAnsi="Times New Roman"/>
          <w:lang w:val="ru-RU"/>
        </w:rPr>
      </w:pPr>
      <w:r w:rsidRPr="00D21C51">
        <w:rPr>
          <w:rFonts w:ascii="Times New Roman" w:hAnsi="Times New Roman"/>
          <w:lang w:val="ru-RU"/>
        </w:rPr>
        <w:br/>
      </w:r>
      <w:r w:rsidRPr="00D21C51">
        <w:rPr>
          <w:rFonts w:ascii="Times New Roman" w:eastAsia="Arial" w:hAnsi="Times New Roman"/>
          <w:lang w:val="ru-RU"/>
        </w:rPr>
        <w:t xml:space="preserve">Проект </w:t>
      </w:r>
      <w:r w:rsidRPr="00D21C51">
        <w:rPr>
          <w:rFonts w:ascii="Times New Roman" w:hAnsi="Times New Roman"/>
          <w:lang w:val="ru-RU"/>
        </w:rPr>
        <w:t>«</w:t>
      </w:r>
      <w:bookmarkStart w:id="0" w:name="_Hlk174434139"/>
      <w:r w:rsidRPr="00D21C51">
        <w:rPr>
          <w:rFonts w:ascii="Times New Roman" w:hAnsi="Times New Roman"/>
          <w:lang w:val="ru-RU"/>
        </w:rPr>
        <w:t>РазвитиЕ устойчивых к изменению климата цепочек добавленной стоимости в сельском хозяйстве</w:t>
      </w:r>
      <w:bookmarkEnd w:id="0"/>
      <w:r w:rsidRPr="00D21C51">
        <w:rPr>
          <w:rFonts w:ascii="Times New Roman" w:hAnsi="Times New Roman"/>
          <w:lang w:val="ru-RU"/>
        </w:rPr>
        <w:t xml:space="preserve">» (ПРУИК ЦДС) </w:t>
      </w:r>
      <w:r w:rsidR="00817185" w:rsidRPr="00D21C51">
        <w:rPr>
          <w:rFonts w:ascii="Times New Roman" w:hAnsi="Times New Roman"/>
          <w:lang w:val="ru-RU"/>
        </w:rPr>
        <w:br/>
      </w:r>
      <w:r w:rsidRPr="00CB4A2F">
        <w:rPr>
          <w:rFonts w:ascii="Times New Roman" w:hAnsi="Times New Roman"/>
          <w:b w:val="0"/>
          <w:bCs/>
          <w:lang w:val="ru-RU"/>
        </w:rPr>
        <w:t>(КРЕДИТ АБР №4413 KGZ (COL) /ГРАНТ АФР №0925 KGZ (SF))</w:t>
      </w:r>
    </w:p>
    <w:p w14:paraId="7DF43F79" w14:textId="77777777" w:rsidR="008F10B8" w:rsidRDefault="008F10B8" w:rsidP="00051F4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B02068" w14:textId="3F3A5104" w:rsidR="00084926" w:rsidRPr="00110337" w:rsidRDefault="00D21C51" w:rsidP="00051F4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1C51">
        <w:rPr>
          <w:rFonts w:ascii="Times New Roman" w:hAnsi="Times New Roman" w:cs="Times New Roman"/>
          <w:b/>
          <w:sz w:val="24"/>
          <w:szCs w:val="24"/>
          <w:lang w:val="ru-RU"/>
        </w:rPr>
        <w:t>ФИНАНСОВЫЙ АУДИТ ПРОЕКТ</w:t>
      </w:r>
      <w:r w:rsidR="00110337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14:paraId="1DC2A1B1" w14:textId="77777777" w:rsidR="00AD78FE" w:rsidRPr="00F708BC" w:rsidRDefault="00AD78FE" w:rsidP="00AD7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I. ВВЕДЕНИЕ</w:t>
      </w:r>
    </w:p>
    <w:p w14:paraId="120A3CCD" w14:textId="77777777" w:rsidR="00075A20" w:rsidRPr="00F708BC" w:rsidRDefault="00AD78FE" w:rsidP="00451C1E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Азиатский банк развития (АБР) предоставил Кыргызской Республике льготный кредит в размере 20,00 млн долл. США из льготных обычных ресурсов капитала АБР и грант в размере 20,00 млн долл. США из ресурсов специальных фондов АБР (Азиатский фонд развития [АФР]) для реализации Проекта «Развитие устойчивых к изменению климата цепочек добавленной стоимости в сельском хозяйстве» (ПРУИК ЦДС). Кредитное соглашение №4413 KGZ и Грантовое соглашение №0925 KGZ (SF) по проекту, подписанные 13 декабря 2023 года, были ратифицированы Законом Кыргызской Республики №109 от 27 июня 2024 года. </w:t>
      </w:r>
    </w:p>
    <w:p w14:paraId="4EC1CC6E" w14:textId="191E215B" w:rsidR="00AD78FE" w:rsidRPr="00F708BC" w:rsidRDefault="00AD78FE" w:rsidP="00075A2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проекта — увеличение поставок свежей и переработанной плодоовощной продукции на внутренний и международные рынки. Проект предусматривает два результата: (i) увеличение кредитования со стороны участвующих финансовых институтов (УФИ) для поддержки развития </w:t>
      </w:r>
      <w:r w:rsidR="00075A2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цепочек добавленной стоимости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плодоовощеводства и (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ii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укрепление </w:t>
      </w:r>
      <w:r w:rsidR="00075A2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цепочек добавленной стоимости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плодоовощеводства. В рамках результата 1 проект предоставит долгосрочные средства правомочным УФИ в форме кредитных линий под проценты. УФИ будут предоставлять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субкредиты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правомочным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субзаёмщикам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капитальных инвестиций по рыночным процентным ставкам в соответствии с критериями правомочности, установленными в Руководстве по администрированию проекта (РАП). В рамках результата 2 будут привлечены два </w:t>
      </w:r>
      <w:r w:rsidR="00C5751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международных консультанта, включая международного консультанта по развитию </w:t>
      </w:r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сельскохозяйственной </w:t>
      </w:r>
      <w:r w:rsidR="00C5751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цепочки создания стоимости</w:t>
      </w:r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международного консультанта по разработке кредитных </w:t>
      </w:r>
      <w:proofErr w:type="spellStart"/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проуктов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укрепления связей между производителями и предприятиями по добавлению стоимости</w:t>
      </w:r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разработки кредитных продуктов, предлагаемых по проекту, и рассмотрения </w:t>
      </w:r>
      <w:proofErr w:type="spellStart"/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суб</w:t>
      </w:r>
      <w:proofErr w:type="spellEnd"/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-кредитов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целью</w:t>
      </w:r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ускорения выделения средств проекта со стороны УФИ для </w:t>
      </w:r>
      <w:proofErr w:type="spellStart"/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суб</w:t>
      </w:r>
      <w:proofErr w:type="spellEnd"/>
      <w:r w:rsidR="00366CA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-кредитов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 Проект также обеспечит операционный бюджет для финансирования Отдела реализации сельскохозяйственных проектов (ОРСП) при Министерстве водных ресурсов, сельского хозяйства и перерабатывающей промышленности (МВСХПП) для надлежащего управления проектом, мониторинга и отчётности. Срок реализации проекта составляет 5 лет (2024–2028).</w:t>
      </w:r>
    </w:p>
    <w:p w14:paraId="481B7ED3" w14:textId="2EF5C115" w:rsidR="00170EEC" w:rsidRDefault="00AD78FE" w:rsidP="0094351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 и грант предоставлены Кыргызской Республике, представляемой Правительством. Министерство финансов (Минфин) выступает представителем Правительства как получатель гранта и заёмщик. Минфин будет предоставлять кредитные средства и часть грантовых средств УФИ в рамках Результата 1.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МВСХПП является исполнительным агентством. МВСХПП также выступает реализующим агентством по Результату 2 и несёт ответственность за общее управление проектом через О</w:t>
      </w:r>
      <w:r w:rsidR="000005B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тдел реализации сельскохозяйственных проектов</w:t>
      </w:r>
      <w:r w:rsidR="00C55032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(ОРСП)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 МВСХПП через ОРСП отвечает за повседневную реализацию проекта, подготовку квартальных и годовых отчётов о ходе реализации проекта, включая финансовый прогресс проекта, консолидацию квартальных и годовых отчётов УФИ, подготовку и представление в АБР ежегодного Отчёта об использовании средств (ОИС) по проекту, сбор ОИС от всех УФИ и их сверку с данными о выплатах АБР, организацию аудита проекта, мониторинг бюджета и хода реализации проекта. ОРСП МВСХПП будет получать поддержку от команд К</w:t>
      </w:r>
      <w:r w:rsidR="006A051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онсультантов по реализации проекта и Консультанта по поддержке цепочек добавленной стоимости.</w:t>
      </w:r>
    </w:p>
    <w:p w14:paraId="1A2EFC51" w14:textId="77777777" w:rsidR="00170EEC" w:rsidRPr="00170EEC" w:rsidRDefault="00170EEC" w:rsidP="00170E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ED48485" w14:textId="636F384D" w:rsidR="00AD78FE" w:rsidRPr="00F708BC" w:rsidRDefault="00AD78FE" w:rsidP="0094351F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Требуемые услуги: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проведение аудита Ежегодного отчёта об использовании средств </w:t>
      </w:r>
      <w:r w:rsidR="00D73D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 (и использования средств ПРУИК ЦДС (Кредит №4413 KGZ и Грант №0925 KGZ (SF)) и Ежегодных отчётов об использовании средств</w:t>
      </w:r>
      <w:r w:rsidR="0062573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ОАО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573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</w:t>
      </w:r>
      <w:r w:rsidR="0062573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ОАО «</w:t>
      </w:r>
      <w:proofErr w:type="spellStart"/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Банк»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 использования средств</w:t>
      </w:r>
      <w:r w:rsidR="00D6295C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6295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 соблюдения финансовых ковенантов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ПРУИК ЦДС (Кредит №4413 KGZ и Грант №0925 KGZ (SF)) по ПРУИК ЦДС, финансируемому АБР в соответствии с Кредитным соглашением №4413 KGZ и Грантовым соглашением №0925 KGZ (SF) от 13 декабря 2023 года, в части, относящейся к компоненту 1 «Кредитные линии для УФИ» и компоненту 2 «Поддержка цепочек добавленной стоимости и управление проектом», за финансовы</w:t>
      </w:r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C1173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(ФГ)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2024</w:t>
      </w:r>
      <w:r w:rsidR="00D716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2025</w:t>
      </w:r>
      <w:r w:rsidR="00D716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2026</w:t>
      </w:r>
      <w:r w:rsidR="007814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(см. Термины и определения).</w:t>
      </w:r>
      <w:r w:rsidR="00D716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69ECD03C" w14:textId="77777777" w:rsidR="00AD78FE" w:rsidRPr="00F708BC" w:rsidRDefault="00AD78FE" w:rsidP="00D21C5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По результатам аудита должны быть предоставлены следующие материалы:</w:t>
      </w:r>
    </w:p>
    <w:p w14:paraId="4B103578" w14:textId="77777777" w:rsidR="00D21C51" w:rsidRDefault="00AD78FE" w:rsidP="00D21C5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Для </w:t>
      </w:r>
      <w:r w:rsidR="008861B6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ОРСП</w:t>
      </w:r>
      <w:r w:rsidR="00D73D5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МВСХПП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1F85E50D" w14:textId="77777777" w:rsidR="00D21C51" w:rsidRDefault="00520259" w:rsidP="00D21C51">
      <w:pPr>
        <w:pStyle w:val="a4"/>
        <w:numPr>
          <w:ilvl w:val="0"/>
          <w:numId w:val="7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2024, ФГ 2025 и ФГ 2026 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 том, что Отчёт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использовании средств </w:t>
      </w:r>
      <w:r w:rsidR="008861B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ОРСП</w:t>
      </w:r>
      <w:r w:rsidR="00D73D52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 достоверно отража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т во всех существенных аспектах источники и использование средств проекта или представля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т правдивую и достоверную картину в соответствии с Международными стандартами бухгалтерского учёта для государственного сектора (на кассовой основе);</w:t>
      </w:r>
    </w:p>
    <w:p w14:paraId="6EDB8EF0" w14:textId="77777777" w:rsidR="00D21C51" w:rsidRDefault="00AD78FE" w:rsidP="00D21C51">
      <w:pPr>
        <w:pStyle w:val="a4"/>
        <w:numPr>
          <w:ilvl w:val="0"/>
          <w:numId w:val="7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520259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520259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520259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2024,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использовании средств кредита и гранта для подтверждения того, что </w:t>
      </w:r>
      <w:r w:rsidR="00D73D52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 использовало средства кредита и гранта исключительно для целей, для которых они были предоставлены;</w:t>
      </w:r>
    </w:p>
    <w:p w14:paraId="3CFD799F" w14:textId="5AC9129A" w:rsidR="00AD78FE" w:rsidRPr="00D21C51" w:rsidRDefault="00AD78FE" w:rsidP="00D21C51">
      <w:pPr>
        <w:pStyle w:val="a4"/>
        <w:numPr>
          <w:ilvl w:val="0"/>
          <w:numId w:val="7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письм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ФГ 2024, ФГ 2025 и ФГ 2026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, предоставляем</w:t>
      </w:r>
      <w:r w:rsidR="007814E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аудиторами, для информирования о недостатках и слабых местах в организационной структуре и системе внутреннего контроля 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проекта </w:t>
      </w:r>
      <w:r w:rsidR="00D73D52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МВСХПП, с рекомендациями по их улучшению и обновлением статуса выполнения рекомендаций аудиторов за предыдущие периоды;</w:t>
      </w:r>
    </w:p>
    <w:p w14:paraId="674BA67D" w14:textId="7D6A8A61" w:rsidR="00D21C51" w:rsidRDefault="00AD78FE" w:rsidP="00D21C5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Для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Банка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115A1E7" w14:textId="77777777" w:rsidR="00D21C51" w:rsidRDefault="00520259" w:rsidP="00D21C51">
      <w:pPr>
        <w:pStyle w:val="a4"/>
        <w:numPr>
          <w:ilvl w:val="0"/>
          <w:numId w:val="7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ФГ 2024, ФГ 2025 и ФГ 2026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 том, что Отчёт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использовании средств </w:t>
      </w:r>
      <w:proofErr w:type="spellStart"/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 достоверно отража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во всех существенных аспектах источники и использование средств проекта или </w:t>
      </w:r>
      <w:r w:rsidR="00AD78FE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представляет правдивую и достоверную картину в соответствии с Международными стандартами бухгалтерского учёта для государственного сектора (на кассовой основе);</w:t>
      </w:r>
    </w:p>
    <w:p w14:paraId="6269F6F1" w14:textId="77777777" w:rsidR="00D21C51" w:rsidRDefault="00AD78FE" w:rsidP="00D21C51">
      <w:pPr>
        <w:pStyle w:val="a4"/>
        <w:numPr>
          <w:ilvl w:val="0"/>
          <w:numId w:val="7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350535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50535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350535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2024,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использовании средств кредита и гранта для подтверждения того, что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использовал средства кредита и гранта исключительно для целей, для которых они были предоставлены;</w:t>
      </w:r>
    </w:p>
    <w:p w14:paraId="7771C6AD" w14:textId="77777777" w:rsidR="00D21C51" w:rsidRDefault="004E0ABC" w:rsidP="00D21C51">
      <w:pPr>
        <w:pStyle w:val="a4"/>
        <w:numPr>
          <w:ilvl w:val="0"/>
          <w:numId w:val="7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дополнительные аудиторские заключения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2024,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соблюдении финансовых ковенантов в </w:t>
      </w:r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Проектном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соглашении</w:t>
      </w:r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АБР и </w:t>
      </w:r>
      <w:proofErr w:type="spellStart"/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подтверждения уровня соблюдения каждого финансового ковенанта; и</w:t>
      </w:r>
    </w:p>
    <w:p w14:paraId="632F8AD9" w14:textId="5BA581CF" w:rsidR="00AD78FE" w:rsidRPr="00D21C51" w:rsidRDefault="00AD78FE" w:rsidP="00D21C51">
      <w:pPr>
        <w:pStyle w:val="a4"/>
        <w:numPr>
          <w:ilvl w:val="0"/>
          <w:numId w:val="7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письм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ФГ 2024, ФГ 2025 и ФГ 2026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, предоставляем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аудиторами, для информирования о недостатках и слабых местах в организационной структуре и системе внутреннего контроля </w:t>
      </w:r>
      <w:r w:rsidR="009C1D56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проекта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Банка, с рекомендациями по их улучшению и обновлением статуса выполнения рекомендаций аудиторов за предыдущие периоды.</w:t>
      </w:r>
    </w:p>
    <w:p w14:paraId="1F0473E2" w14:textId="6B83805C" w:rsidR="00D21C51" w:rsidRDefault="009C1D56" w:rsidP="003B7DF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Для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Банка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7E06489" w14:textId="77777777" w:rsidR="00D21C51" w:rsidRDefault="009C1D56" w:rsidP="00D21C51">
      <w:pPr>
        <w:pStyle w:val="a4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</w:t>
      </w:r>
      <w:r w:rsidR="005235A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5235A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том, что Отчёт об использовании средств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 достоверно отражают во всех существенных аспектах источники и использование средств проекта или представляет правдивую и достоверную картину в соответствии с Международными стандартами бухгалтерского учёта для государственного сектора (на кассовой основе);</w:t>
      </w:r>
    </w:p>
    <w:p w14:paraId="578CD0DC" w14:textId="77777777" w:rsidR="00D21C51" w:rsidRDefault="009C1D56" w:rsidP="00D21C51">
      <w:pPr>
        <w:pStyle w:val="a4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</w:t>
      </w:r>
      <w:r w:rsidR="005235A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аудиторск</w:t>
      </w:r>
      <w:r w:rsidR="005235A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5235AF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</w:t>
      </w:r>
      <w:r w:rsidR="00C11730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использовании средств кредита и гранта для подтверждения того, что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использовал средства кредита и гранта исключительно для целей, для которых они были предоставлены;</w:t>
      </w:r>
    </w:p>
    <w:p w14:paraId="781E93E5" w14:textId="77777777" w:rsidR="00D21C51" w:rsidRDefault="004E0ABC" w:rsidP="00D21C51">
      <w:pPr>
        <w:pStyle w:val="a4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дополнительное аудиторское заключение с разумной уверенностью </w:t>
      </w:r>
      <w:r w:rsidR="00BA7B78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ФГ 2025 и ФГ 2026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соблюдении финансовых ковенантов в </w:t>
      </w:r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Проектном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соглашении </w:t>
      </w:r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АБР и </w:t>
      </w:r>
      <w:proofErr w:type="spellStart"/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022D87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подтверждения уровня соблюдения каждого финансового ковенанта; и</w:t>
      </w:r>
    </w:p>
    <w:p w14:paraId="7156A491" w14:textId="53517C68" w:rsidR="009C1D56" w:rsidRPr="00D21C51" w:rsidRDefault="009C1D56" w:rsidP="00D21C51">
      <w:pPr>
        <w:pStyle w:val="a4"/>
        <w:numPr>
          <w:ilvl w:val="0"/>
          <w:numId w:val="75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письм</w:t>
      </w:r>
      <w:r w:rsidR="0093223A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</w:t>
      </w:r>
      <w:r w:rsidR="00BA7B78"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ФГ 2025 и ФГ 2026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предоставляемое аудиторами, для информирования о недостатках и слабых местах в организационной структуре и системе внутреннего контроля проекта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Банка, с рекомендациями по их улучшению и обновлением статуса выполнения рекомендаций аудиторов за предыдущие периоды.</w:t>
      </w:r>
    </w:p>
    <w:p w14:paraId="2C40DE7F" w14:textId="13A95D72" w:rsidR="00DC7DCF" w:rsidRPr="00F708BC" w:rsidRDefault="00AD78FE" w:rsidP="00D21C51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Основой для подготовки ежегодной финансовой отчётности проекта являются Международные стандарты </w:t>
      </w:r>
      <w:r w:rsidR="001E520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финансовой отчетности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для государственного сектора (МС</w:t>
      </w:r>
      <w:r w:rsidR="001E520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ФОГС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«Финансовая отчётность на кассовой основе». Информация будет получена из </w:t>
      </w:r>
      <w:r w:rsidR="006B18B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учетных записей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проекта, программы бухгалтерского учёта 1С и первичных бухгалтерских документов проекта.</w:t>
      </w:r>
    </w:p>
    <w:p w14:paraId="06E741AB" w14:textId="77777777" w:rsidR="002873F0" w:rsidRPr="00F708BC" w:rsidRDefault="002873F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708BC">
        <w:rPr>
          <w:rFonts w:ascii="Times New Roman" w:hAnsi="Times New Roman" w:cs="Times New Roman"/>
          <w:b/>
          <w:bCs/>
          <w:lang w:val="ru-RU"/>
        </w:rPr>
        <w:br w:type="page"/>
      </w:r>
    </w:p>
    <w:p w14:paraId="25FC72F3" w14:textId="553C5720" w:rsidR="001D4A65" w:rsidRPr="00F708BC" w:rsidRDefault="001D4A65" w:rsidP="001D4A65">
      <w:pPr>
        <w:pStyle w:val="af9"/>
        <w:rPr>
          <w:lang w:val="ru-RU"/>
        </w:rPr>
      </w:pPr>
      <w:r w:rsidRPr="00F708BC">
        <w:rPr>
          <w:b/>
          <w:bCs/>
          <w:lang w:val="ru-RU"/>
        </w:rPr>
        <w:lastRenderedPageBreak/>
        <w:t>II. ЦЕЛИ</w:t>
      </w:r>
    </w:p>
    <w:p w14:paraId="60D29A42" w14:textId="0DF47DB8" w:rsidR="001D4A65" w:rsidRPr="00F708BC" w:rsidRDefault="001D4A65" w:rsidP="00F85B8C">
      <w:pPr>
        <w:pStyle w:val="af9"/>
        <w:numPr>
          <w:ilvl w:val="0"/>
          <w:numId w:val="36"/>
        </w:numPr>
        <w:jc w:val="both"/>
        <w:rPr>
          <w:lang w:val="ru-RU"/>
        </w:rPr>
      </w:pPr>
      <w:r w:rsidRPr="00F708BC">
        <w:rPr>
          <w:lang w:val="ru-RU"/>
        </w:rPr>
        <w:t>Цель аудита Отчётов об использовании средств (ОИС) проекта заключается в том, чтобы предоставить аудитору возможность:</w:t>
      </w:r>
      <w:r w:rsidRPr="00F708BC">
        <w:rPr>
          <w:lang w:val="ru-RU"/>
        </w:rPr>
        <w:br/>
        <w:t>(i) подготовить аудиторское заключение с разумной уверенностью о том, что ОИС проекта во всех существенных аспектах достоверно отражают источники и использование средств проекта либо дают правдивое и достоверное представление; и</w:t>
      </w:r>
      <w:r w:rsidR="006B779F" w:rsidRPr="00F708BC">
        <w:rPr>
          <w:lang w:val="ru-RU"/>
        </w:rPr>
        <w:br/>
      </w:r>
      <w:r w:rsidRPr="00F708BC">
        <w:rPr>
          <w:lang w:val="ru-RU"/>
        </w:rPr>
        <w:t>(</w:t>
      </w:r>
      <w:proofErr w:type="spellStart"/>
      <w:r w:rsidRPr="00F708BC">
        <w:rPr>
          <w:lang w:val="ru-RU"/>
        </w:rPr>
        <w:t>ii</w:t>
      </w:r>
      <w:proofErr w:type="spellEnd"/>
      <w:r w:rsidRPr="00F708BC">
        <w:rPr>
          <w:lang w:val="ru-RU"/>
        </w:rPr>
        <w:t>) представить дополнительн</w:t>
      </w:r>
      <w:r w:rsidR="00BB0047" w:rsidRPr="00F708BC">
        <w:rPr>
          <w:lang w:val="ru-RU"/>
        </w:rPr>
        <w:t>ы</w:t>
      </w:r>
      <w:r w:rsidRPr="00F708BC">
        <w:rPr>
          <w:lang w:val="ru-RU"/>
        </w:rPr>
        <w:t>е заключени</w:t>
      </w:r>
      <w:r w:rsidR="00BB0047" w:rsidRPr="00F708BC">
        <w:rPr>
          <w:lang w:val="ru-RU"/>
        </w:rPr>
        <w:t>я</w:t>
      </w:r>
      <w:r w:rsidRPr="00F708BC">
        <w:rPr>
          <w:lang w:val="ru-RU"/>
        </w:rPr>
        <w:t xml:space="preserve"> относительно использования средств кредита и гранта</w:t>
      </w:r>
      <w:r w:rsidR="00BB0047" w:rsidRPr="00F708BC">
        <w:rPr>
          <w:lang w:val="ru-RU"/>
        </w:rPr>
        <w:t xml:space="preserve"> и соблюдения финансовых ковенантов </w:t>
      </w:r>
      <w:r w:rsidR="00910493" w:rsidRPr="00F708BC">
        <w:rPr>
          <w:lang w:val="ru-RU"/>
        </w:rPr>
        <w:t xml:space="preserve">Проектного </w:t>
      </w:r>
      <w:r w:rsidR="00BB0047" w:rsidRPr="00F708BC">
        <w:rPr>
          <w:lang w:val="ru-RU"/>
        </w:rPr>
        <w:t>соглашения</w:t>
      </w:r>
      <w:r w:rsidR="00910493" w:rsidRPr="00F708BC">
        <w:rPr>
          <w:lang w:val="ru-RU"/>
        </w:rPr>
        <w:t xml:space="preserve"> между АБР и </w:t>
      </w:r>
      <w:proofErr w:type="spellStart"/>
      <w:r w:rsidR="00910493" w:rsidRPr="00F708BC">
        <w:rPr>
          <w:lang w:val="ru-RU"/>
        </w:rPr>
        <w:t>Айыл</w:t>
      </w:r>
      <w:proofErr w:type="spellEnd"/>
      <w:r w:rsidR="00910493" w:rsidRPr="00F708BC">
        <w:rPr>
          <w:lang w:val="ru-RU"/>
        </w:rPr>
        <w:t xml:space="preserve"> Банком и Проектного </w:t>
      </w:r>
      <w:r w:rsidR="00BB0047" w:rsidRPr="00F708BC">
        <w:rPr>
          <w:lang w:val="ru-RU"/>
        </w:rPr>
        <w:t>соглашения</w:t>
      </w:r>
      <w:r w:rsidR="00910493" w:rsidRPr="00F708BC">
        <w:rPr>
          <w:lang w:val="ru-RU"/>
        </w:rPr>
        <w:t xml:space="preserve"> между АБР и </w:t>
      </w:r>
      <w:proofErr w:type="spellStart"/>
      <w:r w:rsidR="00910493" w:rsidRPr="00F708BC">
        <w:rPr>
          <w:lang w:val="ru-RU"/>
        </w:rPr>
        <w:t>Элдик</w:t>
      </w:r>
      <w:proofErr w:type="spellEnd"/>
      <w:r w:rsidR="00910493" w:rsidRPr="00F708BC">
        <w:rPr>
          <w:lang w:val="ru-RU"/>
        </w:rPr>
        <w:t xml:space="preserve"> Банком по ПРУИК ЦДС</w:t>
      </w:r>
      <w:r w:rsidRPr="00F708BC">
        <w:rPr>
          <w:lang w:val="ru-RU"/>
        </w:rPr>
        <w:t>.</w:t>
      </w:r>
    </w:p>
    <w:p w14:paraId="53D54108" w14:textId="77777777" w:rsidR="00A43196" w:rsidRPr="00F708BC" w:rsidRDefault="00A43196" w:rsidP="00A43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III. ОТВЕТСТВЕННОСТЬ РУКОВОДСТВА ЗА ПОДГОТОВКУ ОТЧЁТОВ ОБ ИСПОЛЬЗОВАНИИ СРЕДСТВ</w:t>
      </w:r>
    </w:p>
    <w:p w14:paraId="372CA879" w14:textId="52B6057B" w:rsidR="00A43196" w:rsidRPr="00F708BC" w:rsidRDefault="00A43196" w:rsidP="00F85B8C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Руководство несёт ответственность за подготовку и достоверное представление Отчётов об использовании средств (ОИС) проекта, а также за поддержание надлежащей системы внутреннего контроля, обеспечивающей отсутствие существенных искажений в ОИС, независимо от того, вызваны ли они мошенничеством или ошибкой. Кроме того, руководство обязано гарантировать, что средства использовались исключительно для целей проекта,</w:t>
      </w:r>
      <w:r w:rsidR="00B86A5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соблюдения финансовых ковенантов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обеспеч</w:t>
      </w:r>
      <w:r w:rsidR="00B86A5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ения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функционировани</w:t>
      </w:r>
      <w:r w:rsidR="00B86A5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эффективной системы внутреннего контроля, включая контроль за процессом закупок.</w:t>
      </w:r>
    </w:p>
    <w:p w14:paraId="23FC3340" w14:textId="77777777" w:rsidR="00F85B8C" w:rsidRDefault="00A43196" w:rsidP="00F85B8C">
      <w:pPr>
        <w:spacing w:before="100" w:beforeAutospacing="1" w:after="100" w:afterAutospacing="1" w:line="240" w:lineRule="auto"/>
        <w:ind w:left="851" w:hanging="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 этой связи руководство должно:</w:t>
      </w:r>
    </w:p>
    <w:p w14:paraId="293ED90A" w14:textId="6B1925DA" w:rsidR="00F85B8C" w:rsidRPr="00F85B8C" w:rsidRDefault="00A43196" w:rsidP="00F85B8C">
      <w:pPr>
        <w:pStyle w:val="a4"/>
        <w:numPr>
          <w:ilvl w:val="0"/>
          <w:numId w:val="76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подготовить и подписать Отчёты об использовании средств;</w:t>
      </w:r>
    </w:p>
    <w:p w14:paraId="4747F842" w14:textId="5A7ED1DF" w:rsidR="00A43196" w:rsidRDefault="00A43196" w:rsidP="00F85B8C">
      <w:pPr>
        <w:pStyle w:val="a4"/>
        <w:numPr>
          <w:ilvl w:val="0"/>
          <w:numId w:val="76"/>
        </w:numPr>
        <w:spacing w:before="100" w:beforeAutospacing="1" w:after="100" w:afterAutospacing="1" w:line="240" w:lineRule="auto"/>
        <w:ind w:hanging="3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подготовить и подписать письмо</w:t>
      </w: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заявление руководства.</w:t>
      </w:r>
    </w:p>
    <w:p w14:paraId="0BAA7A92" w14:textId="77777777" w:rsidR="00F85B8C" w:rsidRPr="00F85B8C" w:rsidRDefault="00F85B8C" w:rsidP="00F85B8C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0BCEB3" w14:textId="77777777" w:rsidR="00A43196" w:rsidRPr="00F708BC" w:rsidRDefault="00A43196" w:rsidP="00F85B8C">
      <w:pPr>
        <w:pStyle w:val="a4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 письмо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заявление руководства включаются следующие подтверждения:</w:t>
      </w:r>
    </w:p>
    <w:p w14:paraId="730570E1" w14:textId="77777777" w:rsidR="00A43196" w:rsidRPr="00F708BC" w:rsidRDefault="00A43196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что Отчёты об использовании средств не содержат существенных искажений, включая упущения и ошибки, и достоверно представлены в соответствии с рамками финансовой отчётности, приемлемыми для Азиатского банка развития (АБР);</w:t>
      </w:r>
    </w:p>
    <w:p w14:paraId="32C86F5C" w14:textId="75F9A9B3" w:rsidR="00A43196" w:rsidRPr="00F708BC" w:rsidRDefault="00A43196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</w:t>
      </w:r>
      <w:r w:rsidR="00D73D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 (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или </w:t>
      </w:r>
      <w:proofErr w:type="spellStart"/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55FF7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Банк </w:t>
      </w:r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соответственно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 использовали средства кредита и гранта исключительно для целей, для которых они были предоставлены;</w:t>
      </w:r>
    </w:p>
    <w:p w14:paraId="5F8B4DEA" w14:textId="028179A8" w:rsidR="00BB0047" w:rsidRPr="00F708BC" w:rsidRDefault="00BB0047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соблюдал (или частично соблюдал или не соблюдал) финансовые ковенанты </w:t>
      </w:r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соглашения</w:t>
      </w:r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АБР и </w:t>
      </w:r>
      <w:proofErr w:type="spellStart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 и </w:t>
      </w:r>
      <w:proofErr w:type="spellStart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соблюдал (или частично соблюдал или не соблюдал) финансовые ковенанты Проектного соглашения между АБР и </w:t>
      </w:r>
      <w:proofErr w:type="spellStart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910493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E64ED92" w14:textId="77777777" w:rsidR="00A43196" w:rsidRPr="00F708BC" w:rsidRDefault="00A43196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процедура авансового финансирования, где применимо, осуществлялась в соответствии с «Руководством по выплатам по кредитам» АБР 2022 года;</w:t>
      </w:r>
    </w:p>
    <w:p w14:paraId="5579EB94" w14:textId="77777777" w:rsidR="00F85B8C" w:rsidRDefault="00A43196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что процедура использования отчётов о расходах (ООР</w:t>
      </w:r>
      <w:r w:rsidR="006C0C11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(SOE)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), где применимо, применялась в соответствии с «Руководством по выплатам по кредитам» АБР 2022 года, в том числе:</w:t>
      </w:r>
    </w:p>
    <w:p w14:paraId="685D2531" w14:textId="5868C2C8" w:rsidR="00F85B8C" w:rsidRPr="00F85B8C" w:rsidRDefault="00A43196" w:rsidP="00F85B8C">
      <w:pPr>
        <w:pStyle w:val="a4"/>
        <w:numPr>
          <w:ilvl w:val="1"/>
          <w:numId w:val="41"/>
        </w:numPr>
        <w:spacing w:after="12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имеются соответствующие оригиналы подтверждающих документов, обосновывающих расходы;</w:t>
      </w:r>
    </w:p>
    <w:p w14:paraId="61CDE23B" w14:textId="77777777" w:rsidR="00F85B8C" w:rsidRDefault="00A21804" w:rsidP="00F85B8C">
      <w:pPr>
        <w:pStyle w:val="a4"/>
        <w:numPr>
          <w:ilvl w:val="1"/>
          <w:numId w:val="41"/>
        </w:numPr>
        <w:spacing w:after="12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ООР (SOE)</w:t>
      </w:r>
      <w:r w:rsidR="00A43196"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подготовлены в соответствии с «Руководством по выплатам по кредитам» АБР 2022 года;</w:t>
      </w:r>
    </w:p>
    <w:p w14:paraId="5C01F0DF" w14:textId="77777777" w:rsidR="00F85B8C" w:rsidRDefault="00A43196" w:rsidP="00F85B8C">
      <w:pPr>
        <w:pStyle w:val="a4"/>
        <w:numPr>
          <w:ilvl w:val="1"/>
          <w:numId w:val="41"/>
        </w:numPr>
        <w:spacing w:after="12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расходы, указанные в </w:t>
      </w:r>
      <w:r w:rsidR="00A21804"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ООР (SOE)</w:t>
      </w: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соответствуют утверждённым целям проекта и категориям затрат, предусмотренным кредитным и грантовым соглашениями;</w:t>
      </w:r>
    </w:p>
    <w:p w14:paraId="10FAC904" w14:textId="53075984" w:rsidR="00A43196" w:rsidRPr="00F85B8C" w:rsidRDefault="00A43196" w:rsidP="00F85B8C">
      <w:pPr>
        <w:pStyle w:val="a4"/>
        <w:numPr>
          <w:ilvl w:val="1"/>
          <w:numId w:val="41"/>
        </w:numPr>
        <w:spacing w:after="12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расходы, заявленные в </w:t>
      </w:r>
      <w:r w:rsidR="00A21804"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ООР (SOE)</w:t>
      </w:r>
      <w:r w:rsidRPr="00F85B8C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соответствуют процентам финансирования, установленным в кредитном и грантовом соглашениях;</w:t>
      </w:r>
    </w:p>
    <w:p w14:paraId="7FFE6329" w14:textId="31C129D3" w:rsidR="00A43196" w:rsidRPr="00F708BC" w:rsidRDefault="00A43196" w:rsidP="00F85B8C">
      <w:pPr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566F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поддерживалась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эффективная система внутреннего контроля, включая контроль за процессом закупок.</w:t>
      </w:r>
    </w:p>
    <w:p w14:paraId="1E2D0DBA" w14:textId="77777777" w:rsidR="00762DFF" w:rsidRPr="00F708BC" w:rsidRDefault="00762DFF" w:rsidP="0076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IV. АУДИТОРСКИЕ СТАНДАРТЫ</w:t>
      </w:r>
    </w:p>
    <w:p w14:paraId="41744F31" w14:textId="1C15CE66" w:rsidR="00762DFF" w:rsidRPr="00F708BC" w:rsidRDefault="00762DFF" w:rsidP="005C7B70">
      <w:pPr>
        <w:numPr>
          <w:ilvl w:val="0"/>
          <w:numId w:val="42"/>
        </w:numPr>
        <w:tabs>
          <w:tab w:val="clear" w:pos="720"/>
          <w:tab w:val="num" w:pos="426"/>
        </w:tabs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 проводится в соответствии с Международными стандартами аудита, издаваемыми Советом </w:t>
      </w:r>
      <w:r w:rsidR="0022333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международным стандартам аудита и обеспечению уверенности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(IAASB). Эти стандарты обязывают аудиторов соблюдать этические требования, а также планировать и выполнять аудит таким образом, чтобы получить разумную уверенность в том, что Отчёты об использовании средств (ОИС) не содержат существенных искажений.</w:t>
      </w:r>
    </w:p>
    <w:p w14:paraId="260EF49A" w14:textId="77777777" w:rsidR="00762DFF" w:rsidRPr="00F708BC" w:rsidRDefault="00762DFF" w:rsidP="005C7B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Аудит включает выполнение процедур по получению аудиторских доказательств в отношении сумм и раскрытий, представленных в ОИС. Выбор конкретных процедур определяется профессиональным суждением аудиторов и включает оценку рисков существенных искажений ОИС, вызванных как мошенничеством, так и ошибкой. При оценке рисков аудиторы учитывают систему внутреннего контроля, относящуюся к подготовке и достоверному представлению ОИС, с целью разработки адекватных в данных обстоятельствах аудиторских процедур, но не для выражения мнения об эффективности внутреннего контроля организации.</w:t>
      </w:r>
    </w:p>
    <w:p w14:paraId="26CA7DB5" w14:textId="6EE24B58" w:rsidR="00762DFF" w:rsidRDefault="00762DFF" w:rsidP="00EA0F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 также предполагает оценку уместности применяемой учётной политики, обоснованности бухгалтерских оценок, </w:t>
      </w:r>
      <w:r w:rsidR="00F47197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произведенных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руководством, и общей формы представления</w:t>
      </w:r>
      <w:r w:rsidR="00EA0F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ОИС.</w:t>
      </w:r>
    </w:p>
    <w:p w14:paraId="6CB73D3F" w14:textId="77777777" w:rsidR="00EA0FB2" w:rsidRPr="00392F81" w:rsidRDefault="00EA0FB2" w:rsidP="00EA0F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45405A" w14:textId="77777777" w:rsidR="00762DFF" w:rsidRPr="00F708BC" w:rsidRDefault="00762DFF" w:rsidP="00EA0FB2">
      <w:pPr>
        <w:numPr>
          <w:ilvl w:val="0"/>
          <w:numId w:val="4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Применяемые стандарты будут закреплены в проектных/кредитных документах и включают:</w:t>
      </w:r>
    </w:p>
    <w:p w14:paraId="18C28DFF" w14:textId="77777777" w:rsidR="00762DFF" w:rsidRPr="00F708BC" w:rsidRDefault="00762DFF" w:rsidP="00E84E8C">
      <w:pPr>
        <w:numPr>
          <w:ilvl w:val="0"/>
          <w:numId w:val="4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 стандарты аудита (ISA);</w:t>
      </w:r>
    </w:p>
    <w:p w14:paraId="7ACE262E" w14:textId="630351BA" w:rsidR="00762DFF" w:rsidRPr="00F708BC" w:rsidRDefault="00223336" w:rsidP="00E84E8C">
      <w:pPr>
        <w:numPr>
          <w:ilvl w:val="0"/>
          <w:numId w:val="4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Международные стандарты по обеспечению уверенности </w:t>
      </w:r>
      <w:r w:rsidR="00762DF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(ISAE).</w:t>
      </w:r>
      <w:r w:rsidR="007B6801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519BBBE7" w14:textId="77777777" w:rsidR="00762DFF" w:rsidRPr="00F708BC" w:rsidRDefault="00762DFF" w:rsidP="00E84E8C">
      <w:pPr>
        <w:numPr>
          <w:ilvl w:val="0"/>
          <w:numId w:val="45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При проведении аудита аудиторы уделят особое внимание следующим стандартам:</w:t>
      </w:r>
    </w:p>
    <w:p w14:paraId="5E847D3C" w14:textId="4C177709" w:rsidR="00762DFF" w:rsidRPr="00F708BC" w:rsidRDefault="00762DFF" w:rsidP="002712C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ISA </w:t>
      </w:r>
      <w:r w:rsidR="00855FF7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="00855FF7" w:rsidRPr="00392F81">
        <w:rPr>
          <w:rFonts w:ascii="Times New Roman" w:hAnsi="Times New Roman" w:cs="Times New Roman"/>
          <w:lang w:val="ru-RU"/>
        </w:rPr>
        <w:t xml:space="preserve"> </w:t>
      </w:r>
      <w:r w:rsidR="00855FF7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(пересмотренный) – Формирование мнения и составление заключения по финансовой отчетности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BC54B5A" w14:textId="77777777" w:rsidR="00762DFF" w:rsidRPr="00F708BC" w:rsidRDefault="00762DFF" w:rsidP="00FD675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ISA 240 – Обязанности аудитора, относящиеся к мошенничеству при аудите финансовой отчётности;</w:t>
      </w:r>
    </w:p>
    <w:p w14:paraId="7AE88C64" w14:textId="77777777" w:rsidR="00762DFF" w:rsidRPr="00F708BC" w:rsidRDefault="00762DFF" w:rsidP="00FD675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ISA 250 – Учет законов и нормативных актов при аудите финансовой отчётности;</w:t>
      </w:r>
    </w:p>
    <w:p w14:paraId="465ECA38" w14:textId="1BC6DAEB" w:rsidR="00762DFF" w:rsidRPr="00F708BC" w:rsidRDefault="00762DFF" w:rsidP="00FD675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ISA 260 – </w:t>
      </w:r>
      <w:r w:rsidR="00A54F3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Взаимодействие с органами управления и надзора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D80A3C8" w14:textId="5C01D382" w:rsidR="00762DFF" w:rsidRPr="00F708BC" w:rsidRDefault="00762DFF" w:rsidP="00FD675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ISA 265 – </w:t>
      </w:r>
      <w:r w:rsidR="00D52917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Сообщение о выявленных недостатках внутреннего контроля лицам, осуществляющим функции управления и надзора, и руководству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B17F68B" w14:textId="3F0BB0A6" w:rsidR="00762DFF" w:rsidRPr="00F708BC" w:rsidRDefault="00762DFF" w:rsidP="00FD675D">
      <w:pPr>
        <w:numPr>
          <w:ilvl w:val="0"/>
          <w:numId w:val="4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ISA 330 –</w:t>
      </w:r>
      <w:r w:rsidR="00E06CC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Ответы аудитора на оценённые риски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FE11E40" w14:textId="77777777" w:rsidR="00762DFF" w:rsidRPr="00F708BC" w:rsidRDefault="00762DFF" w:rsidP="0076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V. РАМКИ ФИНАНСОВОЙ ОТЧЁТНОСТИ ПО ПРОЕКТУ</w:t>
      </w:r>
    </w:p>
    <w:p w14:paraId="5A525FC8" w14:textId="2A46DB02" w:rsidR="00762DFF" w:rsidRPr="00F708BC" w:rsidRDefault="00762DFF" w:rsidP="00FD675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должен проверить, что ОИС подготовлены в соответствии с Международными стандартами </w:t>
      </w:r>
      <w:r w:rsidR="007F36C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финансовой отчетности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для государственного сектора (МС</w:t>
      </w:r>
      <w:r w:rsidR="007F36C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ФОГС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издаваемыми Советом по международным стандартам бухгалтерского учёта для государственного сектора (IPSASB). Ответственность за подготовку ОИС несёт исполнительное и/или реализующее агентство (МВСХПП,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или </w:t>
      </w:r>
      <w:proofErr w:type="spellStart"/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соответственно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), а не аудиторы.</w:t>
      </w:r>
    </w:p>
    <w:p w14:paraId="00CBEFE2" w14:textId="77777777" w:rsidR="00DE610F" w:rsidRPr="00F708BC" w:rsidRDefault="00DE610F" w:rsidP="00FD67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VI. РЕЗУЛЬТАТЫ АУДИТА</w:t>
      </w:r>
    </w:p>
    <w:p w14:paraId="2ABE530C" w14:textId="3B027233" w:rsidR="00DE610F" w:rsidRPr="00F708BC" w:rsidRDefault="00DE610F" w:rsidP="00FD675D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Аудированные Отчёты об использовании средств (ОИС).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результатам аудита должн</w:t>
      </w:r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быть представлен</w:t>
      </w:r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аудиторск</w:t>
      </w:r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5235A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разумной уверенностью в отношении ОИС. Применяемая основа финансовой отчётности — основа достоверного представления. ОИС должны включать:</w:t>
      </w:r>
    </w:p>
    <w:p w14:paraId="6284B1B3" w14:textId="77777777" w:rsidR="00DE610F" w:rsidRPr="00F708BC" w:rsidRDefault="00DE610F" w:rsidP="00DE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Таблица 1. Содержание ОИС</w:t>
      </w:r>
    </w:p>
    <w:p w14:paraId="17A20A2B" w14:textId="2F77C6F5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ОИС с указанием начального сальдо, наименований финансовых посредников, сведений о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субкредитах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(открытые кредитные линии и суммы, выданные по ним</w:t>
      </w:r>
      <w:r w:rsidR="00A8502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A8502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тип расходов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), конечного сальдо, сравнительных показателей за предыдущий год и накопленных сумм на текущую дату;</w:t>
      </w:r>
    </w:p>
    <w:p w14:paraId="3E6CBF3B" w14:textId="77777777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Отчёт о сравнении бюджета и фактических расходов (любые существенные отклонения должны быть подробно раскрыты в примечаниях к ОИС);</w:t>
      </w:r>
    </w:p>
    <w:p w14:paraId="6CF10955" w14:textId="77777777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Отчёт о сверке авансового счёта по каждому авансовому счёту;</w:t>
      </w:r>
    </w:p>
    <w:p w14:paraId="75FFE5FB" w14:textId="77777777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Отчёт о выплатах с разбивкой по каждому источнику финансирования;</w:t>
      </w:r>
    </w:p>
    <w:p w14:paraId="7526C1CC" w14:textId="77777777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Подробные примечания к ОИС, включая описание применяемой учётной политики;</w:t>
      </w:r>
    </w:p>
    <w:p w14:paraId="6AE59370" w14:textId="77777777" w:rsidR="00DE610F" w:rsidRPr="00F708BC" w:rsidRDefault="00DE610F" w:rsidP="00AD2AE6">
      <w:pPr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Любые дополнительные приложения, согласованные сторонами (например, сводка активов, сверка проектных данных с информацией о выплатах АБР).</w:t>
      </w:r>
    </w:p>
    <w:p w14:paraId="3BE752ED" w14:textId="4CE993DB" w:rsidR="00F322C4" w:rsidRPr="00F708BC" w:rsidRDefault="00DE610F" w:rsidP="00AD2AE6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Аудиторское заключение с разумной уверенностью относительно использования средств кредита </w:t>
      </w:r>
      <w:r w:rsidR="00A85025"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гранта 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соблюдения финансовых </w:t>
      </w:r>
      <w:r w:rsidR="00007074"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условий (к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овенантов</w:t>
      </w:r>
      <w:r w:rsidR="00007074"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 должен представить заключение с разумной уверенностью </w:t>
      </w:r>
      <w:r w:rsidR="0000707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ISAE 3000 «Стандарты обеспечения уверенности, иные, чем аудит или обзор исторической финансовой информации»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подтверждающее:</w:t>
      </w:r>
    </w:p>
    <w:p w14:paraId="141C0291" w14:textId="67E3CFCA" w:rsidR="00F322C4" w:rsidRPr="00F708BC" w:rsidRDefault="00DE610F" w:rsidP="00AD2AE6">
      <w:pPr>
        <w:pStyle w:val="a4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что средства кредита и гранта использовались исключительно для целей, для которых они были предоставлены</w:t>
      </w:r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 и</w:t>
      </w:r>
    </w:p>
    <w:p w14:paraId="1CD1EE00" w14:textId="3083FC59" w:rsidR="00007650" w:rsidRPr="00F708BC" w:rsidRDefault="00007650" w:rsidP="00AD2AE6">
      <w:pPr>
        <w:pStyle w:val="a4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ч</w:t>
      </w:r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proofErr w:type="spellStart"/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соблюдал, частично соблюдал или не соблюдал финансовые ковенанты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соглашения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АБР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ЦДС;</w:t>
      </w:r>
    </w:p>
    <w:p w14:paraId="61E48FF6" w14:textId="2ADAED8D" w:rsidR="00F322C4" w:rsidRPr="00F708BC" w:rsidRDefault="00007650" w:rsidP="00AD2AE6">
      <w:pPr>
        <w:pStyle w:val="a4"/>
        <w:numPr>
          <w:ilvl w:val="0"/>
          <w:numId w:val="7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что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 соблюдал, частично соблюдал или не соблюдал финансовые ковенанты Проектного соглашения между АБР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ПРУИК ЦДС</w:t>
      </w:r>
      <w:r w:rsidR="00F322C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45611EC" w14:textId="52E2B0A3" w:rsidR="00DE610F" w:rsidRPr="00F708BC" w:rsidRDefault="00F322C4" w:rsidP="00AD2AE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определит степень со</w:t>
      </w:r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блюдения</w:t>
      </w:r>
      <w:r w:rsidR="00A8502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ссылаясь на предусмотренные договором и фактические показатели выполнения по каждому финансовому ковенанту, установленному в Проектных соглашениях </w:t>
      </w:r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A8502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и </w:t>
      </w:r>
      <w:proofErr w:type="spellStart"/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007650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соответственно)</w:t>
      </w:r>
      <w:r w:rsidR="00A8502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подтверждением, предоставленным УФИ по расчету каждого такого финансового ковенанта</w:t>
      </w:r>
      <w:r w:rsidR="00A7555A" w:rsidRPr="00F708BC">
        <w:rPr>
          <w:rStyle w:val="a8"/>
          <w:rFonts w:ascii="Times New Roman" w:eastAsia="Times New Roman" w:hAnsi="Times New Roman" w:cs="Times New Roman"/>
          <w:sz w:val="24"/>
          <w:szCs w:val="24"/>
          <w:lang w:val="ru-RU"/>
        </w:rPr>
        <w:footnoteReference w:id="1"/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4FA434D" w14:textId="221B8487" w:rsidR="00DE610F" w:rsidRPr="002D38AE" w:rsidRDefault="00DE610F" w:rsidP="000428BB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Письмо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noBreakHyphen/>
        <w:t>заявление руководству.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44D2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ISA 260 аудиторы обязаны доводить до лиц, осуществляющих функции управления и надзора, вопросы аудита, представляющие интерес для управления.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Соответственно, аудиторы готовят письмо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заявление руководству, содержащее выявленные недостатки или слабые места </w:t>
      </w:r>
      <w:r w:rsidR="000428B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организационной структуре 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</w:t>
      </w:r>
      <w:r w:rsidR="000428B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внутреннего контроля, обнаруженные в ходе оценки и проведения аудита, включая нарушения при использовании процедур авансового финансирования АБР (где применимо), процедур Отчётов о расходах (SOE) (где применимо) или процесса закупок</w:t>
      </w:r>
      <w:r w:rsidR="000428BB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0428BB" w:rsidRPr="002D38AE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предоставить рекомендации по устранению выявленных вопросов и по совершенствованию внутреннего контроля, а также обновить информацию о статусе реализации рекомендаций аудита за предыдущий период (если применимо)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 Если недостатки или слабые места не выявлены, должно быть предоставлено письменное подтверждение об отсутствии письма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заявления руководству.</w:t>
      </w:r>
    </w:p>
    <w:p w14:paraId="646E83D0" w14:textId="77777777" w:rsidR="000428BB" w:rsidRPr="00F708BC" w:rsidRDefault="000428BB" w:rsidP="002D38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F4E67F" w14:textId="77777777" w:rsidR="00DE610F" w:rsidRPr="00F708BC" w:rsidRDefault="00DE610F" w:rsidP="000428BB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Особые соображения.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ходе аудита аудиторы уделяют особое внимание следующим вопросам:</w:t>
      </w:r>
    </w:p>
    <w:p w14:paraId="313B63FD" w14:textId="77777777" w:rsidR="00DE610F" w:rsidRPr="00F708BC" w:rsidRDefault="00DE610F" w:rsidP="00C0215E">
      <w:pPr>
        <w:numPr>
          <w:ilvl w:val="0"/>
          <w:numId w:val="5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использованию внешних средств в соответствии с применимыми юридическими и финансовыми соглашениями;</w:t>
      </w:r>
    </w:p>
    <w:p w14:paraId="4E77B02F" w14:textId="77777777" w:rsidR="00DE610F" w:rsidRPr="00F708BC" w:rsidRDefault="00DE610F" w:rsidP="00C0215E">
      <w:pPr>
        <w:numPr>
          <w:ilvl w:val="0"/>
          <w:numId w:val="5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предоставлению встречного финансирования в соответствии с соответствующими соглашениями и его использованию исключительно для целей проекта, для которых были предоставлены кредит и грант;</w:t>
      </w:r>
    </w:p>
    <w:p w14:paraId="60AEDBA8" w14:textId="77777777" w:rsidR="00DE610F" w:rsidRPr="00F708BC" w:rsidRDefault="00DE610F" w:rsidP="00C0215E">
      <w:pPr>
        <w:numPr>
          <w:ilvl w:val="0"/>
          <w:numId w:val="5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ведению надлежащих бухгалтерских книг и записей;</w:t>
      </w:r>
    </w:p>
    <w:p w14:paraId="2F2D9B0B" w14:textId="77777777" w:rsidR="00DE610F" w:rsidRPr="00F708BC" w:rsidRDefault="00DE610F" w:rsidP="00C0215E">
      <w:pPr>
        <w:numPr>
          <w:ilvl w:val="0"/>
          <w:numId w:val="52"/>
        </w:numPr>
        <w:spacing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наличию основных средств проекта и внутреннему контролю, связанному с ними;</w:t>
      </w:r>
    </w:p>
    <w:p w14:paraId="03A1B4C4" w14:textId="77777777" w:rsidR="00DE610F" w:rsidRPr="00F708BC" w:rsidRDefault="00DE610F" w:rsidP="005C7B70">
      <w:pPr>
        <w:numPr>
          <w:ilvl w:val="0"/>
          <w:numId w:val="5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если аудиторский отчёт подготовлен в соответствии с ISA 800, он должен содержать обязательный параграф «Акцент на вопросе», информирующий пользователей отчёта о том, что ОИС подготовлены в соответствии со специальной целевой основой и, следовательно, могут быть непригодны для иных целей;</w:t>
      </w:r>
    </w:p>
    <w:p w14:paraId="1864F29F" w14:textId="77777777" w:rsidR="004A5613" w:rsidRDefault="00DE610F" w:rsidP="00AD2AE6">
      <w:pPr>
        <w:numPr>
          <w:ilvl w:val="0"/>
          <w:numId w:val="52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если разумная уверенность предоставляется в соответствии с ISAE 3000 (пересмотренным), отчёт об обеспечении уверенности должен содержать, в числе прочего:</w:t>
      </w:r>
    </w:p>
    <w:p w14:paraId="473DE665" w14:textId="3294FAC4" w:rsidR="004A5613" w:rsidRDefault="00DE610F" w:rsidP="004A5613">
      <w:pPr>
        <w:numPr>
          <w:ilvl w:val="0"/>
          <w:numId w:val="77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 о том, что задание выполнено в соответствии с ISAE 3000;</w:t>
      </w:r>
    </w:p>
    <w:p w14:paraId="39B65989" w14:textId="77777777" w:rsidR="004A5613" w:rsidRDefault="00DE610F" w:rsidP="004A5613">
      <w:pPr>
        <w:numPr>
          <w:ilvl w:val="0"/>
          <w:numId w:val="77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 проверки;</w:t>
      </w:r>
    </w:p>
    <w:p w14:paraId="6212F65C" w14:textId="77777777" w:rsidR="004A5613" w:rsidRDefault="00DE610F" w:rsidP="004A5613">
      <w:pPr>
        <w:numPr>
          <w:ilvl w:val="0"/>
          <w:numId w:val="77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критерии для оценки;</w:t>
      </w:r>
    </w:p>
    <w:p w14:paraId="09C5CA06" w14:textId="77777777" w:rsidR="004A5613" w:rsidRDefault="00DE610F" w:rsidP="004A5613">
      <w:pPr>
        <w:numPr>
          <w:ilvl w:val="0"/>
          <w:numId w:val="77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краткое описание выполненной работы;</w:t>
      </w:r>
    </w:p>
    <w:p w14:paraId="6DA0666B" w14:textId="7AB4EBC4" w:rsidR="00DE610F" w:rsidRPr="00F708BC" w:rsidRDefault="00DE610F" w:rsidP="004A5613">
      <w:pPr>
        <w:numPr>
          <w:ilvl w:val="0"/>
          <w:numId w:val="77"/>
        </w:num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заключение аудиторов;</w:t>
      </w:r>
    </w:p>
    <w:p w14:paraId="2F4496D8" w14:textId="77777777" w:rsidR="004A5613" w:rsidRPr="00A17E1C" w:rsidRDefault="00DE610F" w:rsidP="00A17E1C">
      <w:pPr>
        <w:pStyle w:val="a4"/>
        <w:numPr>
          <w:ilvl w:val="0"/>
          <w:numId w:val="80"/>
        </w:numPr>
        <w:spacing w:after="4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в отношении процедуры авансового финансирования аудиторские процедуры планируются и выполняются для подтверждения того, что:</w:t>
      </w:r>
    </w:p>
    <w:p w14:paraId="4DD7CB50" w14:textId="6A9F9FDE" w:rsidR="004A5613" w:rsidRPr="004A5613" w:rsidRDefault="00DE610F" w:rsidP="004A5613">
      <w:pPr>
        <w:pStyle w:val="a4"/>
        <w:numPr>
          <w:ilvl w:val="1"/>
          <w:numId w:val="41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5613">
        <w:rPr>
          <w:rFonts w:ascii="Times New Roman" w:eastAsia="Times New Roman" w:hAnsi="Times New Roman" w:cs="Times New Roman"/>
          <w:sz w:val="24"/>
          <w:szCs w:val="24"/>
          <w:lang w:val="ru-RU"/>
        </w:rPr>
        <w:t>авансовый счёт (включая любые субсчета) велся в соответствии с «Руководством по выплатам по кредитам» АБР 2022 года;</w:t>
      </w:r>
    </w:p>
    <w:p w14:paraId="202F7C74" w14:textId="77777777" w:rsidR="004A5613" w:rsidRDefault="00DE610F" w:rsidP="004A5613">
      <w:pPr>
        <w:pStyle w:val="a4"/>
        <w:numPr>
          <w:ilvl w:val="1"/>
          <w:numId w:val="41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5613">
        <w:rPr>
          <w:rFonts w:ascii="Times New Roman" w:eastAsia="Times New Roman" w:hAnsi="Times New Roman" w:cs="Times New Roman"/>
          <w:sz w:val="24"/>
          <w:szCs w:val="24"/>
          <w:lang w:val="ru-RU"/>
        </w:rPr>
        <w:t>остаток денежных средств на авансовом счёте (и субсчетах) подтверждён документально;</w:t>
      </w:r>
    </w:p>
    <w:p w14:paraId="06429C74" w14:textId="77777777" w:rsidR="004A5613" w:rsidRDefault="00DE610F" w:rsidP="004A5613">
      <w:pPr>
        <w:pStyle w:val="a4"/>
        <w:numPr>
          <w:ilvl w:val="1"/>
          <w:numId w:val="41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5613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расходы, оплаченные с авансового счёта (и субсчетов), соответствуют утверждённым целям проекта и категориям затрат, предусмотренным кредитным и грантовым соглашениями;</w:t>
      </w:r>
    </w:p>
    <w:p w14:paraId="3D85FEF2" w14:textId="7715469B" w:rsidR="00DE610F" w:rsidRPr="004A5613" w:rsidRDefault="00DE610F" w:rsidP="004A5613">
      <w:pPr>
        <w:pStyle w:val="a4"/>
        <w:numPr>
          <w:ilvl w:val="1"/>
          <w:numId w:val="41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5613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расходы, оплаченные с авансового счёта (и субсчетов), соответствуют процентам финансирования, установленным в кредитном и грантовом соглашениях;</w:t>
      </w:r>
    </w:p>
    <w:p w14:paraId="16D69646" w14:textId="2A525D5A" w:rsidR="00A17E1C" w:rsidRPr="00A17E1C" w:rsidRDefault="00DE610F" w:rsidP="00A17E1C">
      <w:pPr>
        <w:pStyle w:val="a4"/>
        <w:numPr>
          <w:ilvl w:val="0"/>
          <w:numId w:val="79"/>
        </w:numPr>
        <w:spacing w:after="4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в отношении процедуры Отчётов о расходах (SOE) аудиторские процедуры планируются и выполняются для подтверждения того, что:</w:t>
      </w:r>
    </w:p>
    <w:p w14:paraId="4D911A77" w14:textId="34D420E2" w:rsidR="0061526D" w:rsidRDefault="0061526D" w:rsidP="0061526D">
      <w:pPr>
        <w:pStyle w:val="a4"/>
        <w:numPr>
          <w:ilvl w:val="0"/>
          <w:numId w:val="78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ООР (SOE) подготовлены в соответствии с «Руководством по выплатам по кредитам» АБР 2022 года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4827320" w14:textId="77777777" w:rsidR="0061526D" w:rsidRDefault="00DE610F" w:rsidP="0061526D">
      <w:pPr>
        <w:pStyle w:val="a4"/>
        <w:numPr>
          <w:ilvl w:val="0"/>
          <w:numId w:val="78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отдельные платежи по расходам, указанным в 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ООР (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SOE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, подтверждены документально;</w:t>
      </w:r>
    </w:p>
    <w:p w14:paraId="7DE8E4D0" w14:textId="77777777" w:rsidR="0061526D" w:rsidRDefault="00DE610F" w:rsidP="0061526D">
      <w:pPr>
        <w:pStyle w:val="a4"/>
        <w:numPr>
          <w:ilvl w:val="0"/>
          <w:numId w:val="78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расходы, указанные в 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ООР (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SOE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соответствуют утверждённым целям проекта и категориям затрат, предусмотренным кредитным и грантовым соглашениями;</w:t>
      </w:r>
    </w:p>
    <w:p w14:paraId="58926F4A" w14:textId="3341C9D6" w:rsidR="00DE610F" w:rsidRPr="00A17E1C" w:rsidRDefault="00DE610F" w:rsidP="0061526D">
      <w:pPr>
        <w:pStyle w:val="a4"/>
        <w:numPr>
          <w:ilvl w:val="0"/>
          <w:numId w:val="78"/>
        </w:numPr>
        <w:spacing w:after="4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расходы, заявленные в 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ООР (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SOE</w:t>
      </w:r>
      <w:r w:rsidR="00C54B81"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A17E1C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соответствуют процентам финансирования, установленным в кредитном и грантовом соглашениях;</w:t>
      </w:r>
    </w:p>
    <w:p w14:paraId="04C460DF" w14:textId="77777777" w:rsidR="00DE610F" w:rsidRPr="0061526D" w:rsidRDefault="00DE610F" w:rsidP="0061526D">
      <w:pPr>
        <w:pStyle w:val="a4"/>
        <w:numPr>
          <w:ilvl w:val="0"/>
          <w:numId w:val="81"/>
        </w:numPr>
        <w:spacing w:after="4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1526D">
        <w:rPr>
          <w:rFonts w:ascii="Times New Roman" w:eastAsia="Times New Roman" w:hAnsi="Times New Roman" w:cs="Times New Roman"/>
          <w:sz w:val="24"/>
          <w:szCs w:val="24"/>
          <w:lang w:val="ru-RU"/>
        </w:rPr>
        <w:t>выявленным недостаткам внутреннего контроля в процессе закупок.</w:t>
      </w:r>
    </w:p>
    <w:p w14:paraId="7CC50F91" w14:textId="724ECEF9" w:rsidR="00DE610F" w:rsidRPr="00F708BC" w:rsidRDefault="00186B8B" w:rsidP="00324AFC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6B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Отчетность на английском языке</w:t>
      </w:r>
      <w:r w:rsidR="00B926DB" w:rsidRPr="00FE0D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926D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русском языках</w:t>
      </w:r>
      <w:r w:rsidRPr="00186B8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186B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АБР требует, чтобы все ОИС, аудиторские отчеты и письм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186B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 были представлены на английском языке и направлены в АБР не позднее чем через шесть месяцев после окончания финансового года, к которому они относятся.</w:t>
      </w:r>
      <w:r w:rsidR="008D168B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</w:t>
      </w:r>
      <w:r w:rsidR="008D168B" w:rsidRPr="00186B8B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аудиторские отчеты и письм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D168B" w:rsidRPr="00186B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 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должны также быть </w:t>
      </w:r>
      <w:r w:rsidR="008D168B" w:rsidRPr="00186B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представлены на 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языке для ОРСП МВ</w:t>
      </w:r>
      <w:r w:rsidR="005876B4">
        <w:rPr>
          <w:rFonts w:ascii="Times New Roman" w:eastAsia="Times New Roman" w:hAnsi="Times New Roman" w:cs="Times New Roman"/>
          <w:sz w:val="24"/>
          <w:szCs w:val="24"/>
          <w:lang w:val="ru-RU"/>
        </w:rPr>
        <w:t>СХПП</w:t>
      </w:r>
      <w:r w:rsidR="00A159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(2-зкз на английском, 2-экз на русском языках)</w:t>
      </w:r>
      <w:r w:rsidR="005876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61897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00A7FDE3" w14:textId="5AA73F35" w:rsidR="00506BFB" w:rsidRPr="00A82DA1" w:rsidRDefault="008223D7" w:rsidP="00A82DA1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55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Публичное раскрытие.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Политика </w:t>
      </w:r>
      <w:r w:rsidR="00DE610F" w:rsidRPr="00A0550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АБР по доступу к информации</w:t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(2018) регулирует порядок публичного раскрытия ОИС, включая аудиторское заключение по аудированным ОИС. После рассмотрения АБР опубликует ОИС и аудиторское заключение по ним не позднее чем через 14 календарных дней с момента </w:t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подтверждения их приемлемости, разместив их на веб</w:t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сайте АБР. Письмо</w:t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заявление руководству и дополнительные аудиторские заключения раскрытию не подлежат</w:t>
      </w:r>
      <w:r w:rsidR="002B2D7E" w:rsidRPr="00F708BC">
        <w:rPr>
          <w:rStyle w:val="a8"/>
          <w:rFonts w:ascii="Times New Roman" w:hAnsi="Times New Roman" w:cs="Times New Roman"/>
          <w:lang w:val="ru-RU"/>
        </w:rPr>
        <w:footnoteReference w:id="2"/>
      </w:r>
      <w:r w:rsidR="00DE61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69EFE97" w14:textId="38B7DD0D" w:rsidR="00265DAB" w:rsidRPr="00F708BC" w:rsidRDefault="00265DAB" w:rsidP="00265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VII. ПРОЧИЕ ВОПРОСЫ</w:t>
      </w:r>
    </w:p>
    <w:p w14:paraId="6C99AEEF" w14:textId="5B3D1AC8" w:rsidR="00265DAB" w:rsidRPr="00A0550F" w:rsidRDefault="00265DAB" w:rsidP="003352A3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Доступ.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Аудиторы будут иметь полный доступ, в любое разумное время, ко всем записям и документам, включая бухгалтерские книги, юридические соглашения, банковские записи, счета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фактуры и любую другую информацию, связанную с проектом и признанную аудиторами необходимой. Аудиторам будет обеспечено полное содействие со стороны всех сотрудников </w:t>
      </w:r>
      <w:r w:rsidR="00C249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и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подразделений по реализации проекта, деятельность которых связана с годовыми ОИС или может быть в них отражена. Кроме того, аудиторам будут гарантированы права доступа к банкам и депозитариям, консультантам, подрядчикам и другим лицам или организациям, нанятым </w:t>
      </w:r>
      <w:r w:rsidR="00C2490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ОРСП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и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по проекту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66D4614" w14:textId="77777777" w:rsidR="003352A3" w:rsidRPr="00F708BC" w:rsidRDefault="003352A3" w:rsidP="00A0550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6F16FB" w14:textId="77777777" w:rsidR="00E33DF7" w:rsidRPr="00A0550F" w:rsidRDefault="00E33DF7" w:rsidP="00E33DF7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0550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Ведение учета.</w:t>
      </w:r>
    </w:p>
    <w:p w14:paraId="1FD1898E" w14:textId="77777777" w:rsidR="00E33DF7" w:rsidRPr="00F708BC" w:rsidRDefault="00E33DF7" w:rsidP="00A0550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Аудиторы уделят особое внимание тому, ведутся ли все необходимые подтверждающие документы, записи и счета по всем проектным мероприятиям, с четкой увязкой между бухгалтерскими записями и Отчетом об использовании средств. Это будет включать:</w:t>
      </w:r>
    </w:p>
    <w:p w14:paraId="4496D57E" w14:textId="77777777" w:rsidR="00E33DF7" w:rsidRPr="00F708BC" w:rsidRDefault="00E33DF7" w:rsidP="00A0550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(i) вычисления и пересчеты, включая проверку математической точности оценок, счетов или записей;</w:t>
      </w:r>
    </w:p>
    <w:p w14:paraId="6989127F" w14:textId="77777777" w:rsidR="00E33DF7" w:rsidRPr="00F708BC" w:rsidRDefault="00E33DF7" w:rsidP="00A0550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ii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 сверку, включая сопоставление взаимосвязанных счетов друг с другом, вспомогательных записей с основными записями и внутренних записей с внешними документами;</w:t>
      </w:r>
    </w:p>
    <w:p w14:paraId="22984306" w14:textId="4A97762A" w:rsidR="00E33DF7" w:rsidRPr="00A0550F" w:rsidRDefault="00E33DF7" w:rsidP="00A0550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iii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 прослеживание, включая отслеживание проводок в журналах, остатков вспомогательных книг и других деталей до соответствующих счетов главной книги или пробного баланса.</w:t>
      </w:r>
    </w:p>
    <w:p w14:paraId="464FFC58" w14:textId="77777777" w:rsidR="00E33DF7" w:rsidRPr="00F708BC" w:rsidRDefault="00E33DF7" w:rsidP="00A0550F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ED8FCFC" w14:textId="5410C667" w:rsidR="00265DAB" w:rsidRPr="00A0550F" w:rsidRDefault="00265DAB" w:rsidP="003352A3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Независимость.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Аудиторы должны быть беспристрастными и независимыми от любых аспектов управления или финансовых интересов в 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Банке и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в проекте, подлежащем аудиту. В частности, аудиторы должны быть независимы от контроля со стороны 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и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 В течение периода, охваченного аудитом, аудиторы не должны состоять в трудовых отношениях, занимать должности директоров или иметь какие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либо </w:t>
      </w:r>
      <w:proofErr w:type="gram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финансовые</w:t>
      </w:r>
      <w:proofErr w:type="gram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тесные деловые отношения с 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Аудиторы также не должны иметь близких личных отношений с любым руководящим сотрудником МВСХПП и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и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 Аудиторы обязаны раскрывать любые обстоятельства или отношения, которые могут поставить под угрозу их независимость.</w:t>
      </w:r>
    </w:p>
    <w:p w14:paraId="2093DD73" w14:textId="77777777" w:rsidR="003352A3" w:rsidRPr="00F708BC" w:rsidRDefault="003352A3" w:rsidP="00A0550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6E3A9F" w14:textId="4D42F282" w:rsidR="00265DAB" w:rsidRPr="00F708BC" w:rsidRDefault="00265DAB" w:rsidP="00A00E69">
      <w:pPr>
        <w:numPr>
          <w:ilvl w:val="0"/>
          <w:numId w:val="5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Опыт аудиторов</w:t>
      </w:r>
      <w:r w:rsidR="00C42117" w:rsidRPr="00D21C5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4211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требования к поставщику услуг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Аудиторы должны быть уполномочены на осуществление деятельности в стране и обладать возможностью применять согласованные аудиторские стандарты. Они должны иметь достаточный штат сотрудников с соответствующей профессиональной квалификацией и надлежащим опытом, включая опыт аудита счетов проектов или организаций, сопоставимых по характеру, размеру и сложности с проектом или организацией, аудит которых они должны провести. В этой связи аудиторы обязаны предоставить резюме (CV) сотрудников, которые будут готовить заключения и отчёты, а также резюме менеджеров, руководителей и ключевых специалистов, которые, вероятно, будут вовлечены в аудиторскую работу. Эти резюме должны содержать сведения о проведённых указанными сотрудниками аудитах, включая текущие задания.</w:t>
      </w:r>
    </w:p>
    <w:p w14:paraId="3F9F91B5" w14:textId="77777777" w:rsidR="000B23D1" w:rsidRPr="00D21C51" w:rsidRDefault="000B23D1" w:rsidP="00CD56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C3368E" w14:textId="21D044BD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Поставщик аудиторских услуг («Аудитор») должен быть объективным и независимым от контроля над организацией или проектом, подлежащим аудиту, а также от лиц организации, назначившей его/её. Кроме того, Аудитор должен являться членом профессионального бухгалтерского объединения, входящего в Международную федерацию бухгалтеров (</w:t>
      </w:r>
      <w:r w:rsidRPr="00EE4F3B">
        <w:rPr>
          <w:rFonts w:ascii="Times New Roman" w:eastAsia="Times New Roman" w:hAnsi="Times New Roman" w:cs="Times New Roman"/>
          <w:sz w:val="24"/>
          <w:szCs w:val="24"/>
        </w:rPr>
        <w:t>IFAC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), и соблюдать требования Международных стандартов аудита (</w:t>
      </w:r>
      <w:r w:rsidRPr="00EE4F3B">
        <w:rPr>
          <w:rFonts w:ascii="Times New Roman" w:eastAsia="Times New Roman" w:hAnsi="Times New Roman" w:cs="Times New Roman"/>
          <w:sz w:val="24"/>
          <w:szCs w:val="24"/>
        </w:rPr>
        <w:t>ISA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4710CCD6" w14:textId="64F821CE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 должен иметь не менее двух лет опыта проведения аудита организаций в Кыргызской Республике в соответствии с </w:t>
      </w:r>
      <w:r w:rsidRPr="00EE4F3B">
        <w:rPr>
          <w:rFonts w:ascii="Times New Roman" w:eastAsia="Times New Roman" w:hAnsi="Times New Roman" w:cs="Times New Roman"/>
          <w:sz w:val="24"/>
          <w:szCs w:val="24"/>
        </w:rPr>
        <w:t>ISA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A8F131E" w14:textId="3A52C782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должен иметь опыт проведения аудита проектов, финансируемых международными финансовыми институтами (предпочтительно проектов, финансируемых АБР), и быть в состоянии предоставить персонал с необходимой квалификацией для компетентного и своевременного проведения аудита.</w:t>
      </w:r>
    </w:p>
    <w:p w14:paraId="0DDD5CE3" w14:textId="32F97109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Преимущество будет предоставлено аудитору, который может обеспечить наличие как минимум двух постоянных членов аудиторской команды, обладающих международными квалификациями </w:t>
      </w:r>
      <w:r w:rsidRPr="00EE4F3B">
        <w:rPr>
          <w:rFonts w:ascii="Times New Roman" w:eastAsia="Times New Roman" w:hAnsi="Times New Roman" w:cs="Times New Roman"/>
          <w:sz w:val="24"/>
          <w:szCs w:val="24"/>
        </w:rPr>
        <w:t>ACCA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</w:t>
      </w:r>
      <w:r w:rsidRPr="00EE4F3B">
        <w:rPr>
          <w:rFonts w:ascii="Times New Roman" w:eastAsia="Times New Roman" w:hAnsi="Times New Roman" w:cs="Times New Roman"/>
          <w:sz w:val="24"/>
          <w:szCs w:val="24"/>
        </w:rPr>
        <w:t>CPA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413507" w14:textId="1EF83B1E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Преимущество будет предоставлено аудитору, имеющему опыт проведения аудита банков.</w:t>
      </w:r>
    </w:p>
    <w:p w14:paraId="609C08BC" w14:textId="1B42C3E7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Преимущество будет предоставлено аудиторской фирме из «Большой четвёрки».</w:t>
      </w:r>
    </w:p>
    <w:p w14:paraId="0629CAE6" w14:textId="5F0FA02F" w:rsidR="00EE4F3B" w:rsidRPr="00D21C51" w:rsidRDefault="00EE4F3B" w:rsidP="00CD56EA">
      <w:pPr>
        <w:pStyle w:val="a4"/>
        <w:numPr>
          <w:ilvl w:val="0"/>
          <w:numId w:val="7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Аудиторская фирма не должна являться аффилированной стороной Министерства водных ресурсов, сельского хозяйства и перерабатывающей промышленности (МВСХПП), ОРСП,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и </w:t>
      </w:r>
      <w:proofErr w:type="spellStart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Банка, и не долж</w:t>
      </w:r>
      <w:r w:rsidR="000275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 присутствовать </w:t>
      </w:r>
      <w:r w:rsidRPr="00D21C51">
        <w:rPr>
          <w:rFonts w:ascii="Times New Roman" w:eastAsia="Times New Roman" w:hAnsi="Times New Roman" w:cs="Times New Roman"/>
          <w:sz w:val="24"/>
          <w:szCs w:val="24"/>
          <w:lang w:val="ru-RU"/>
        </w:rPr>
        <w:t>конфликт интересов.</w:t>
      </w:r>
    </w:p>
    <w:p w14:paraId="11014576" w14:textId="77777777" w:rsidR="00265DAB" w:rsidRPr="00F708BC" w:rsidRDefault="00265DAB" w:rsidP="00265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VIII. ОПИСАНИЕ МАТЕРИАЛОВ И СРОКОВ ПРЕДОСТАВЛЕНИЯ</w:t>
      </w:r>
    </w:p>
    <w:p w14:paraId="78D2712B" w14:textId="5D30B702" w:rsidR="00265DAB" w:rsidRPr="00F708BC" w:rsidRDefault="00265DAB" w:rsidP="00A56E2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ОИС (см. раздел «Термины и определения») и подтверждающая документация будут предоставлены аудитору в следующие предполагаемые сроки: не позднее 10 апреля 202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для ОИС за 2024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8D168B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8D168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апреля 202</w:t>
      </w:r>
      <w:r w:rsidR="008D168B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8D168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для ОИС за 202</w:t>
      </w:r>
      <w:r w:rsidR="008D168B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 </w:t>
      </w:r>
      <w:r w:rsidR="008D168B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1D6901E" w14:textId="77777777" w:rsidR="00126D2F" w:rsidRPr="00F708BC" w:rsidRDefault="00126D2F" w:rsidP="00126D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4C6C64" w14:textId="160D2690" w:rsidR="00265DAB" w:rsidRPr="00F708BC" w:rsidRDefault="00265DAB" w:rsidP="00A56E2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Ответственность за подготовку ОИС, включая их надлежащее раскрытие, возлагается на руководство </w:t>
      </w:r>
      <w:r w:rsidR="00DB26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ОРСП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МВСХПП (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или </w:t>
      </w:r>
      <w:proofErr w:type="spell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Банка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соответственно</w:t>
      </w:r>
      <w:proofErr w:type="gram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Это включает ведение соответствующих бухгалтерских записей и внутренний контроль за средствами, выбор и применение учётной политики, а также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обеспечение сохранности активов проекта. В ходе аудита аудитор будет запрашивать у руководства письменные подтверждения представленной информации, относящейся к аудиту.</w:t>
      </w:r>
    </w:p>
    <w:p w14:paraId="78F5A182" w14:textId="77777777" w:rsidR="00126D2F" w:rsidRPr="00F708BC" w:rsidRDefault="00126D2F" w:rsidP="00126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E71636" w14:textId="77777777" w:rsidR="00265DAB" w:rsidRPr="00F708BC" w:rsidRDefault="00265DAB" w:rsidP="00A56E28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 представит руководству (с копиями в АБР) следующие заключения и отчёты в установленные сроки:</w:t>
      </w:r>
    </w:p>
    <w:p w14:paraId="6E4C064F" w14:textId="10F4612F" w:rsidR="00265DAB" w:rsidRPr="00F708BC" w:rsidRDefault="00265DAB" w:rsidP="00B4655A">
      <w:pPr>
        <w:numPr>
          <w:ilvl w:val="0"/>
          <w:numId w:val="57"/>
        </w:numPr>
        <w:spacing w:before="120"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="00EC2E9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ОРСП </w:t>
      </w: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МВСХПП:</w:t>
      </w:r>
    </w:p>
    <w:p w14:paraId="759AE5BA" w14:textId="2C586864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аудиторск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заключени</w:t>
      </w:r>
      <w:r w:rsidR="00F950EF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ОИС МВСХПП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 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2025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6C1977" w14:textId="7321ECD4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аудиторск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заключени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использовании средств кредита и гранта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позднее 10 мая 2027 года за 2026 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819BEAD" w14:textId="364D905D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пис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 по ОИС МВСХПП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год;</w:t>
      </w:r>
    </w:p>
    <w:p w14:paraId="2EB4C186" w14:textId="4005A5F9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аудиторск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ОИС МВСХПП —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год;</w:t>
      </w:r>
    </w:p>
    <w:p w14:paraId="677100E0" w14:textId="0908485A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аудиторск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использовании средств кредита и гранта —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5366DD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5366DD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53B9159" w14:textId="2A80EC36" w:rsidR="00265DAB" w:rsidRPr="00F708BC" w:rsidRDefault="00265DAB" w:rsidP="00CD56EA">
      <w:pPr>
        <w:numPr>
          <w:ilvl w:val="0"/>
          <w:numId w:val="58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письм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 по ОИС МВСХПП —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930442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930442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930442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30442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9440CD4" w14:textId="7344969B" w:rsidR="00265DAB" w:rsidRPr="00F708BC" w:rsidRDefault="00265DAB" w:rsidP="00CD56EA">
      <w:pPr>
        <w:numPr>
          <w:ilvl w:val="0"/>
          <w:numId w:val="59"/>
        </w:numPr>
        <w:spacing w:before="120"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proofErr w:type="spellStart"/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Банка:</w:t>
      </w:r>
    </w:p>
    <w:p w14:paraId="12ACE07C" w14:textId="7EE8A0FE" w:rsidR="00265DAB" w:rsidRPr="00F708BC" w:rsidRDefault="00265DAB" w:rsidP="00CD56EA">
      <w:pPr>
        <w:numPr>
          <w:ilvl w:val="0"/>
          <w:numId w:val="60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Проекты аудиторских заключений по ОИС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D2CA2C2" w14:textId="324222F7" w:rsidR="00265DAB" w:rsidRPr="00F708BC" w:rsidRDefault="00265DAB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 аудиторских заключений об использовании средств кредита и гранта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7AA86D9" w14:textId="3EC5E903" w:rsidR="00AA33F8" w:rsidRPr="00F708BC" w:rsidRDefault="00AA33F8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Проекты аудиторских заключений о соблюдении финансовых ковенантов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="002C6ABA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соглашения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АБР и </w:t>
      </w:r>
      <w:proofErr w:type="spellStart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— не позднее 10 мая 2026 года за 2024 и 2025 года</w:t>
      </w:r>
      <w:r w:rsidR="002C6ABA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46C9850" w14:textId="0119C154" w:rsidR="00265DAB" w:rsidRPr="00F708BC" w:rsidRDefault="00265DAB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 писем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заявлений руководству по ОИС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10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51BF281" w14:textId="5FADC894" w:rsidR="00265DAB" w:rsidRPr="00F708BC" w:rsidRDefault="00265DAB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Окончательные аудиторские заключения по ОИС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C33169B" w14:textId="6BE32AF4" w:rsidR="00265DAB" w:rsidRPr="00F708BC" w:rsidRDefault="00265DAB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Окончательные аудиторские заключения об использовании средств кредита и гранта —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2025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13F327B" w14:textId="70D062F1" w:rsidR="002C6ABA" w:rsidRPr="00F708BC" w:rsidRDefault="002C6ABA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Окончательные аудиторские заключения о соблюдении финансовых ковенантов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соглашения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АБР и </w:t>
      </w:r>
      <w:proofErr w:type="spellStart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не позднее 31 мая 2026 года за 2024 и 2025 года;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EF706AF" w14:textId="4341148A" w:rsidR="00265DAB" w:rsidRPr="00F708BC" w:rsidRDefault="00265DAB" w:rsidP="00CD56EA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Окончательные письма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заявления руководству по ОИС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Банка  —</w:t>
      </w:r>
      <w:proofErr w:type="gram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позднее 31 мая 202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 за 2024 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2025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год</w:t>
      </w:r>
      <w:r w:rsidR="00214739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122E4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122E4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326BEFA" w14:textId="6B821F1A" w:rsidR="00214739" w:rsidRPr="00F708BC" w:rsidRDefault="00214739" w:rsidP="00214739">
      <w:pPr>
        <w:numPr>
          <w:ilvl w:val="0"/>
          <w:numId w:val="59"/>
        </w:numPr>
        <w:spacing w:before="120" w:after="4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proofErr w:type="spellStart"/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Банка:</w:t>
      </w:r>
    </w:p>
    <w:p w14:paraId="00792908" w14:textId="34410EFC" w:rsidR="00214739" w:rsidRPr="00F708BC" w:rsidRDefault="00214739" w:rsidP="006803B4">
      <w:pPr>
        <w:numPr>
          <w:ilvl w:val="0"/>
          <w:numId w:val="60"/>
        </w:numPr>
        <w:spacing w:after="4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Проект аудиторского заключения по ОИС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10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327D1D4" w14:textId="573A268D" w:rsidR="00214739" w:rsidRPr="00F708BC" w:rsidRDefault="00214739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аудиторского заключения об использовании средств кредита и гранта — не позднее 10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2B86854" w14:textId="20776184" w:rsidR="002C6ABA" w:rsidRPr="00F708BC" w:rsidRDefault="002C6ABA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аудиторского заключения о соблюдении финансовых ковенантов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соглашения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между АБР и </w:t>
      </w:r>
      <w:proofErr w:type="spellStart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Банком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</w:t>
      </w:r>
      <w:proofErr w:type="gram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позднее 10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9A98C25" w14:textId="12B18939" w:rsidR="00214739" w:rsidRPr="00F708BC" w:rsidRDefault="00214739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письма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 xml:space="preserve">заявления руководству по ОИС </w:t>
      </w:r>
      <w:proofErr w:type="spellStart"/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10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10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872683F" w14:textId="757138BF" w:rsidR="00214739" w:rsidRPr="00F708BC" w:rsidRDefault="00214739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аудиторск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ОИС </w:t>
      </w:r>
      <w:proofErr w:type="spellStart"/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Банка — не позднее 31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815F594" w14:textId="37F21A15" w:rsidR="00214739" w:rsidRPr="00F708BC" w:rsidRDefault="00214739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аудиторск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заключени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 использовании средств кредита и гранта — не позднее 31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792FA84" w14:textId="4A263FAC" w:rsidR="002C6ABA" w:rsidRPr="00F708BC" w:rsidRDefault="002C6ABA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Окончательное аудиторское заключение о соблюдении финансовых ковенантов 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Проектного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соглашения</w:t>
      </w:r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АБР и </w:t>
      </w:r>
      <w:proofErr w:type="spellStart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="0002261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Банком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не позднее 31 мая 2026 года за 2025 год;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A6FEEBF" w14:textId="2F3DAF8D" w:rsidR="00214739" w:rsidRPr="00F708BC" w:rsidRDefault="00214739" w:rsidP="006803B4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Окончательн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 письм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заявлени</w:t>
      </w:r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руководству по ОИС </w:t>
      </w:r>
      <w:proofErr w:type="spellStart"/>
      <w:r w:rsidR="002575E6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Элдик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Банка  —</w:t>
      </w:r>
      <w:proofErr w:type="gram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позднее 31 мая 2026 года за 2025 год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позднее </w:t>
      </w:r>
      <w:r w:rsidR="00743355" w:rsidRP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743355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1 мая 2027 года за 2026 год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5C84144" w14:textId="56F2324C" w:rsidR="00265DAB" w:rsidRPr="00F708BC" w:rsidRDefault="00265DAB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отчёты должны предоставляться </w:t>
      </w:r>
      <w:r w:rsidR="00EC2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B263E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экземпляра</w:t>
      </w:r>
      <w:r w:rsidR="00EC2E9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на английском языке</w:t>
      </w:r>
      <w:r w:rsidR="00DB263E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B263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C2E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B263E" w:rsidRPr="00FE0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>экземпляр</w:t>
      </w:r>
      <w:r w:rsidR="00EC2E94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392F8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русском языке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BE45751" w14:textId="77777777" w:rsidR="00265DAB" w:rsidRPr="00F708BC" w:rsidRDefault="00265DAB" w:rsidP="00265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IX. ПРЕДСТАВЛЕНИЕ ПРЕДЛОЖЕНИЯ И РАБОЧЕГО ПЛАНА</w:t>
      </w:r>
    </w:p>
    <w:p w14:paraId="61F6B243" w14:textId="77777777" w:rsidR="00265DAB" w:rsidRPr="00F708BC" w:rsidRDefault="00265DAB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Вам предлагается представить предложение и рабочий план для оказания аудиторских услуг, описанных в настоящем письме. Предложения должны охватывать, среди прочего:</w:t>
      </w:r>
    </w:p>
    <w:p w14:paraId="5021AD80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 (если таковая имеется), в которой вы не будете соответствовать согласованным аудиторским стандартам (см. раздел «Термины и определения»), и указание любых альтернативных стандартов, которым вы можете (или должны) соответствовать;</w:t>
      </w:r>
    </w:p>
    <w:p w14:paraId="3709D653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будет ли аудит проводиться как завершённый аудит (т.е. будут ли аудиторы проводить аудит после окончания финансового года, когда бухгалтерские книги закрыты или находятся в процессе закрытия);</w:t>
      </w:r>
    </w:p>
    <w:p w14:paraId="0F700B4B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будет ли аудит, проводимый после окончания финансового года, дополнен одним или несколькими промежуточными аудитами в течение финансового года. Основная цель — проверить действующие системы и внутренний контроль, а также снизить нагрузку на персонал организации и аудитора в конце года;</w:t>
      </w:r>
    </w:p>
    <w:p w14:paraId="586DE741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аудитор намерен выполнять любые законодательные требования, относящиеся к аудиту (например, сертификация, связанная с акционерным капиталом, требуемая законом о компаниях), или требования, которые могут быть косвенно обусловлены договорными обязательствами работодателя (например, требования АБР к аудиту, Отчёты о расходах (SOE), Авансовые счета);</w:t>
      </w:r>
    </w:p>
    <w:p w14:paraId="0B4D8C7F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процедурные требования для определённых проверочных процедур (например, проверка запасов, инвентаризации, активов и т.д.);</w:t>
      </w:r>
    </w:p>
    <w:p w14:paraId="39139C7C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конкретные действия, требуемые от работодателя (например, доступ к компьютерным системам и записям, раскрытие информации);</w:t>
      </w:r>
    </w:p>
    <w:p w14:paraId="40670B4D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обсуждения перед подписанием заключения и отчёта по любым вопросам, возникающим в ходе аудита, и указание лиц, с которыми такие обсуждения будут проводиться;</w:t>
      </w:r>
    </w:p>
    <w:p w14:paraId="4C296309" w14:textId="77777777" w:rsidR="00265DAB" w:rsidRPr="00F708BC" w:rsidRDefault="00265DAB" w:rsidP="004A3D58">
      <w:pPr>
        <w:numPr>
          <w:ilvl w:val="0"/>
          <w:numId w:val="6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 предоставления заключений и отчётов.</w:t>
      </w:r>
    </w:p>
    <w:p w14:paraId="78C9FF16" w14:textId="6EE23533" w:rsidR="00FA0ED4" w:rsidRPr="00F708BC" w:rsidRDefault="00FA0E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ADE9726" w14:textId="1B3FC735" w:rsidR="003C04F6" w:rsidRPr="00F708BC" w:rsidRDefault="003C04F6" w:rsidP="003C0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X. ТЕРМИНЫ И ОПРЕДЕЛЕНИЯ</w:t>
      </w:r>
    </w:p>
    <w:p w14:paraId="48599912" w14:textId="77777777" w:rsidR="003C04F6" w:rsidRPr="00F708BC" w:rsidRDefault="003C04F6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В настоящем документе используются следующие термины и сокращения:</w:t>
      </w:r>
    </w:p>
    <w:p w14:paraId="31AC58F5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АБР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Азиатский банк развития</w:t>
      </w:r>
    </w:p>
    <w:p w14:paraId="3BDD8E8A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Аудитор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юридическое лицо, выбранное ОРСП для проведения аудита проекта</w:t>
      </w:r>
    </w:p>
    <w:p w14:paraId="3DB20E50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АФР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Азиатский фонд развития</w:t>
      </w:r>
    </w:p>
    <w:p w14:paraId="72DBE628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ИА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Исполнительное агентство</w:t>
      </w:r>
    </w:p>
    <w:p w14:paraId="7919773A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КПРП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Консультанты по поддержке реализации проекта</w:t>
      </w:r>
    </w:p>
    <w:p w14:paraId="60FFDF15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КПЦДС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Консультант по поддержке цепочек добавленной стоимости</w:t>
      </w:r>
    </w:p>
    <w:p w14:paraId="531E21F0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МВСХПП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Министерство водных ресурсов, сельского хозяйства и перерабатывающей промышленности Кыргызской Республики</w:t>
      </w:r>
    </w:p>
    <w:p w14:paraId="4608D0F3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Минфин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— Министерство финансов Кыргызской Республики</w:t>
      </w:r>
    </w:p>
    <w:p w14:paraId="5B44CF2B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МСФОГС (IPSAS)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Международные стандарты финансовой отчетности для государственного сектора</w:t>
      </w:r>
    </w:p>
    <w:p w14:paraId="79CC9D1A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МФБ (IFAC)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Международная федерация бухгалтеров</w:t>
      </w:r>
    </w:p>
    <w:p w14:paraId="39B3F1A5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ОИС (SOUF)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Отчёт об использовании средств</w:t>
      </w:r>
    </w:p>
    <w:p w14:paraId="474A22E1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ООР (SOE, Отчёт о расходах)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отчёт о произведённых расходах, используемый для подтверждения выплат</w:t>
      </w:r>
    </w:p>
    <w:p w14:paraId="0228E6B6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ОРСП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Отдел реализации сельскохозяйственных проектов </w:t>
      </w:r>
    </w:p>
    <w:p w14:paraId="762786D7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ПРУИК ЦДС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Проект «Развитие устойчивых к изменению климата цепочек добавленной стоимости в сельском хозяйстве»</w:t>
      </w:r>
    </w:p>
    <w:p w14:paraId="656CE52F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РАП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— Руководство по администрированию проекта</w:t>
      </w:r>
    </w:p>
    <w:p w14:paraId="1DA12F64" w14:textId="77777777" w:rsidR="004A3D58" w:rsidRPr="00F708BC" w:rsidRDefault="004A3D58" w:rsidP="003C04F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УФИ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Участвующее финансовое учреждение</w:t>
      </w:r>
    </w:p>
    <w:p w14:paraId="4CE2ADF7" w14:textId="77777777" w:rsidR="00550642" w:rsidRPr="00F708BC" w:rsidRDefault="00550642" w:rsidP="0055064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CV (резюме)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Curriculum</w:t>
      </w:r>
      <w:proofErr w:type="spellEnd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Vitae</w:t>
      </w:r>
      <w:proofErr w:type="spellEnd"/>
    </w:p>
    <w:p w14:paraId="2F38C7F4" w14:textId="77777777" w:rsidR="00550642" w:rsidRPr="00F708BC" w:rsidRDefault="00550642" w:rsidP="0055064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IAASB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Совет по международным стандартам аудита и обеспечению уверенности</w:t>
      </w:r>
    </w:p>
    <w:p w14:paraId="305BB2B5" w14:textId="77777777" w:rsidR="00550642" w:rsidRPr="00F708BC" w:rsidRDefault="00550642" w:rsidP="0055064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ISA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Международные стандарты аудита</w:t>
      </w:r>
    </w:p>
    <w:p w14:paraId="48E3A624" w14:textId="77777777" w:rsidR="00550642" w:rsidRPr="00F708BC" w:rsidRDefault="00550642" w:rsidP="00550642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ISAE —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Международные стандарты обеспечения уверенности.</w:t>
      </w:r>
    </w:p>
    <w:p w14:paraId="7E022FE8" w14:textId="77777777" w:rsidR="003C04F6" w:rsidRPr="00F708BC" w:rsidRDefault="003C04F6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ОИС и подтверждающая документация предоставляются для следующих проектов, финансируемых АБР:</w:t>
      </w:r>
    </w:p>
    <w:p w14:paraId="34F4D7C9" w14:textId="602725B8" w:rsidR="003C04F6" w:rsidRPr="00F708BC" w:rsidRDefault="003C04F6" w:rsidP="000A446F">
      <w:pPr>
        <w:numPr>
          <w:ilvl w:val="0"/>
          <w:numId w:val="68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 № 4413-KGZ и Грант № 0925-KGZ (SF) Проект </w:t>
      </w:r>
      <w:r w:rsidR="002B603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«Р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азвити</w:t>
      </w:r>
      <w:r w:rsidR="002B603B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устойчивых к изменению климата цепочек добавленной стоимости в сельском хозяйстве».</w:t>
      </w:r>
    </w:p>
    <w:p w14:paraId="30070CD1" w14:textId="62358050" w:rsidR="003C04F6" w:rsidRPr="00F708BC" w:rsidRDefault="003C04F6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«Согласованная учётная политика проекта» в отношении подготовки ОИС означает кассовый метод Международных стандартов </w:t>
      </w:r>
      <w:r w:rsidR="00BE1EBE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финансовой отчетности 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для государственного сектора (МС</w:t>
      </w:r>
      <w:r w:rsidR="00BE1EBE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ФОГС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), издаваемых Советом по международным стандартам бухгалтерского учёта для государственного сектора (IPSASB).</w:t>
      </w:r>
    </w:p>
    <w:p w14:paraId="362451B6" w14:textId="7DA7C387" w:rsidR="001D4A65" w:rsidRPr="00F708BC" w:rsidRDefault="003C04F6" w:rsidP="002D38AE">
      <w:pPr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«Согласованные аудиторские стандарты» означают Международные стандарты аудита (</w:t>
      </w:r>
      <w:r w:rsidR="004944C5" w:rsidRPr="00F708BC">
        <w:rPr>
          <w:rFonts w:ascii="Times New Roman" w:hAnsi="Times New Roman" w:cs="Times New Roman"/>
          <w:lang w:val="ru-RU"/>
        </w:rPr>
        <w:t>ISA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издаваемые Советом </w:t>
      </w:r>
      <w:r w:rsidR="00E74E2C"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по международным стандартам аудита и обеспечению уверенности (IAASB)</w:t>
      </w:r>
      <w:r w:rsidRPr="00F708B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1D4A65" w:rsidRPr="00F708BC" w:rsidSect="00F524B4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5841" w14:textId="77777777" w:rsidR="00883955" w:rsidRDefault="00883955" w:rsidP="00C15CB5">
      <w:pPr>
        <w:spacing w:after="0" w:line="240" w:lineRule="auto"/>
      </w:pPr>
      <w:r>
        <w:separator/>
      </w:r>
    </w:p>
  </w:endnote>
  <w:endnote w:type="continuationSeparator" w:id="0">
    <w:p w14:paraId="62E2B3CD" w14:textId="77777777" w:rsidR="00883955" w:rsidRDefault="00883955" w:rsidP="00C1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E8D4" w14:textId="77777777" w:rsidR="00883955" w:rsidRDefault="00883955" w:rsidP="00C15CB5">
      <w:pPr>
        <w:spacing w:after="0" w:line="240" w:lineRule="auto"/>
      </w:pPr>
      <w:r>
        <w:separator/>
      </w:r>
    </w:p>
  </w:footnote>
  <w:footnote w:type="continuationSeparator" w:id="0">
    <w:p w14:paraId="4C1D6E54" w14:textId="77777777" w:rsidR="00883955" w:rsidRDefault="00883955" w:rsidP="00C15CB5">
      <w:pPr>
        <w:spacing w:after="0" w:line="240" w:lineRule="auto"/>
      </w:pPr>
      <w:r>
        <w:continuationSeparator/>
      </w:r>
    </w:p>
  </w:footnote>
  <w:footnote w:id="1">
    <w:p w14:paraId="53656F1E" w14:textId="2D25BF36" w:rsidR="00A7555A" w:rsidRPr="002D38AE" w:rsidRDefault="00A7555A">
      <w:pPr>
        <w:pStyle w:val="a9"/>
        <w:rPr>
          <w:lang w:val="ru-RU"/>
        </w:rPr>
      </w:pPr>
      <w:r w:rsidRPr="002D38AE">
        <w:rPr>
          <w:rStyle w:val="a8"/>
          <w:lang w:val="ru-RU"/>
        </w:rPr>
        <w:footnoteRef/>
      </w:r>
      <w:r w:rsidRPr="002D38AE">
        <w:rPr>
          <w:lang w:val="ru-RU"/>
        </w:rPr>
        <w:t xml:space="preserve"> Аудит может проводиться в соответствии с национальным эквивалентом ISA 805 «Особые соображения — аудит отдельной финансовой отчетности и конкретных элементов, счетов или статей финансовой отчетности».</w:t>
      </w:r>
    </w:p>
  </w:footnote>
  <w:footnote w:id="2">
    <w:p w14:paraId="46BF0519" w14:textId="6D366376" w:rsidR="002B2D7E" w:rsidRPr="00392F81" w:rsidRDefault="002B2D7E" w:rsidP="002B2D7E">
      <w:pPr>
        <w:pStyle w:val="a9"/>
        <w:rPr>
          <w:lang w:val="ru-RU"/>
        </w:rPr>
      </w:pPr>
      <w:r>
        <w:rPr>
          <w:rStyle w:val="a8"/>
        </w:rPr>
        <w:footnoteRef/>
      </w:r>
      <w:r w:rsidRPr="00392F81">
        <w:rPr>
          <w:lang w:val="ru-RU"/>
        </w:rPr>
        <w:t xml:space="preserve"> </w:t>
      </w:r>
      <w:r w:rsidRPr="003352A3">
        <w:rPr>
          <w:lang w:val="ru-RU"/>
        </w:rPr>
        <w:t>Такая информация, как правило, подпадает под исключения из раскрытия, предусмотренные Политикой доступа к информации ADB (2018, Манила), п. 17 [1–7].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53153823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3B91702" w14:textId="0DB915ED" w:rsidR="00DC7DCF" w:rsidRPr="002230EB" w:rsidRDefault="00DC7DCF" w:rsidP="002230EB">
        <w:pPr>
          <w:pStyle w:val="af2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66A" w:rsidRPr="00A3666A">
          <w:rPr>
            <w:b/>
            <w:bCs/>
            <w:noProof/>
          </w:rPr>
          <w:t>11</w:t>
        </w:r>
        <w:r>
          <w:rPr>
            <w:b/>
            <w:bCs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A8A0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3B0C"/>
    <w:multiLevelType w:val="multilevel"/>
    <w:tmpl w:val="EF2C34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1221C"/>
    <w:multiLevelType w:val="multilevel"/>
    <w:tmpl w:val="83920ED4"/>
    <w:lvl w:ilvl="0">
      <w:start w:val="1"/>
      <w:numFmt w:val="bullet"/>
      <w:lvlText w:val="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95997"/>
    <w:multiLevelType w:val="multilevel"/>
    <w:tmpl w:val="F79A72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85F9A"/>
    <w:multiLevelType w:val="hybridMultilevel"/>
    <w:tmpl w:val="CCA8FC86"/>
    <w:lvl w:ilvl="0" w:tplc="6E145D54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CA95F92"/>
    <w:multiLevelType w:val="hybridMultilevel"/>
    <w:tmpl w:val="5BC6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F5E3A"/>
    <w:multiLevelType w:val="multilevel"/>
    <w:tmpl w:val="F79A72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70185"/>
    <w:multiLevelType w:val="hybridMultilevel"/>
    <w:tmpl w:val="F5D6D4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23835"/>
    <w:multiLevelType w:val="multilevel"/>
    <w:tmpl w:val="F7A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E4D87"/>
    <w:multiLevelType w:val="multilevel"/>
    <w:tmpl w:val="1910E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3C7A88"/>
    <w:multiLevelType w:val="multilevel"/>
    <w:tmpl w:val="F79A728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406FE"/>
    <w:multiLevelType w:val="hybridMultilevel"/>
    <w:tmpl w:val="DA9078E2"/>
    <w:lvl w:ilvl="0" w:tplc="FD6A582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00583"/>
    <w:multiLevelType w:val="multilevel"/>
    <w:tmpl w:val="F79A72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412AF6"/>
    <w:multiLevelType w:val="multilevel"/>
    <w:tmpl w:val="3FE82CEE"/>
    <w:lvl w:ilvl="0">
      <w:start w:val="1"/>
      <w:numFmt w:val="upperRoman"/>
      <w:lvlText w:val="%1."/>
      <w:lvlJc w:val="left"/>
      <w:pPr>
        <w:tabs>
          <w:tab w:val="num" w:pos="2250"/>
        </w:tabs>
        <w:ind w:left="3690" w:hanging="72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upperLetter"/>
      <w:pStyle w:val="2"/>
      <w:lvlText w:val="%2."/>
      <w:lvlJc w:val="left"/>
      <w:pPr>
        <w:tabs>
          <w:tab w:val="num" w:pos="-720"/>
        </w:tabs>
        <w:ind w:left="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lowerLetter"/>
      <w:lvlText w:val="%4.)"/>
      <w:lvlJc w:val="left"/>
      <w:pPr>
        <w:tabs>
          <w:tab w:val="num" w:pos="72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14" w15:restartNumberingAfterBreak="0">
    <w:nsid w:val="175B45E7"/>
    <w:multiLevelType w:val="multilevel"/>
    <w:tmpl w:val="F4D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EE32A7"/>
    <w:multiLevelType w:val="multilevel"/>
    <w:tmpl w:val="F79A72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714A5E"/>
    <w:multiLevelType w:val="multilevel"/>
    <w:tmpl w:val="F79A72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B62799"/>
    <w:multiLevelType w:val="multilevel"/>
    <w:tmpl w:val="8C60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1439C9"/>
    <w:multiLevelType w:val="multilevel"/>
    <w:tmpl w:val="4894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E16EA9"/>
    <w:multiLevelType w:val="multilevel"/>
    <w:tmpl w:val="172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5658EB"/>
    <w:multiLevelType w:val="multilevel"/>
    <w:tmpl w:val="F79A72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E63D58"/>
    <w:multiLevelType w:val="hybridMultilevel"/>
    <w:tmpl w:val="63702670"/>
    <w:lvl w:ilvl="0" w:tplc="973EA426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6521E"/>
    <w:multiLevelType w:val="hybridMultilevel"/>
    <w:tmpl w:val="BB9E1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F2E47"/>
    <w:multiLevelType w:val="hybridMultilevel"/>
    <w:tmpl w:val="F5661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075F48"/>
    <w:multiLevelType w:val="hybridMultilevel"/>
    <w:tmpl w:val="2FBA5458"/>
    <w:lvl w:ilvl="0" w:tplc="C7E8A97A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2CD92D33"/>
    <w:multiLevelType w:val="multilevel"/>
    <w:tmpl w:val="F79A72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747133"/>
    <w:multiLevelType w:val="hybridMultilevel"/>
    <w:tmpl w:val="D5829732"/>
    <w:lvl w:ilvl="0" w:tplc="E2DA73B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77009F"/>
    <w:multiLevelType w:val="hybridMultilevel"/>
    <w:tmpl w:val="C7B622C0"/>
    <w:lvl w:ilvl="0" w:tplc="5016C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E37B8"/>
    <w:multiLevelType w:val="hybridMultilevel"/>
    <w:tmpl w:val="845A196A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97E5E6C"/>
    <w:multiLevelType w:val="multilevel"/>
    <w:tmpl w:val="F79A72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B91D5B"/>
    <w:multiLevelType w:val="hybridMultilevel"/>
    <w:tmpl w:val="E6FA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4071A"/>
    <w:multiLevelType w:val="multilevel"/>
    <w:tmpl w:val="65D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477D2E"/>
    <w:multiLevelType w:val="multilevel"/>
    <w:tmpl w:val="28046D16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DD0C99"/>
    <w:multiLevelType w:val="hybridMultilevel"/>
    <w:tmpl w:val="D398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361379"/>
    <w:multiLevelType w:val="multilevel"/>
    <w:tmpl w:val="DF8A34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615B4A"/>
    <w:multiLevelType w:val="hybridMultilevel"/>
    <w:tmpl w:val="96EC84C6"/>
    <w:lvl w:ilvl="0" w:tplc="9C0AD10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48663111"/>
    <w:multiLevelType w:val="hybridMultilevel"/>
    <w:tmpl w:val="344A63F0"/>
    <w:lvl w:ilvl="0" w:tplc="E2DA73BE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9A631D1"/>
    <w:multiLevelType w:val="multilevel"/>
    <w:tmpl w:val="F79A728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B207A6"/>
    <w:multiLevelType w:val="multilevel"/>
    <w:tmpl w:val="492A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946075"/>
    <w:multiLevelType w:val="multilevel"/>
    <w:tmpl w:val="F79A7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B0C4A57"/>
    <w:multiLevelType w:val="multilevel"/>
    <w:tmpl w:val="F79A72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ED7F34"/>
    <w:multiLevelType w:val="hybridMultilevel"/>
    <w:tmpl w:val="97FADC38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2" w15:restartNumberingAfterBreak="0">
    <w:nsid w:val="4CFA5092"/>
    <w:multiLevelType w:val="multilevel"/>
    <w:tmpl w:val="669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4A53EC"/>
    <w:multiLevelType w:val="multilevel"/>
    <w:tmpl w:val="7A34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7D5C05"/>
    <w:multiLevelType w:val="multilevel"/>
    <w:tmpl w:val="1FCE89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2B794C"/>
    <w:multiLevelType w:val="multilevel"/>
    <w:tmpl w:val="47E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6C1C38"/>
    <w:multiLevelType w:val="hybridMultilevel"/>
    <w:tmpl w:val="9AA098E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4353918"/>
    <w:multiLevelType w:val="hybridMultilevel"/>
    <w:tmpl w:val="18560E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446E1D"/>
    <w:multiLevelType w:val="hybridMultilevel"/>
    <w:tmpl w:val="54DA8C6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54C1665"/>
    <w:multiLevelType w:val="hybridMultilevel"/>
    <w:tmpl w:val="D06073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8D5478"/>
    <w:multiLevelType w:val="hybridMultilevel"/>
    <w:tmpl w:val="9F10D81E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58EF1D8F"/>
    <w:multiLevelType w:val="multilevel"/>
    <w:tmpl w:val="B234FE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3E20A3"/>
    <w:multiLevelType w:val="hybridMultilevel"/>
    <w:tmpl w:val="78F02CF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F8B1282"/>
    <w:multiLevelType w:val="multilevel"/>
    <w:tmpl w:val="F79A7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4307CA"/>
    <w:multiLevelType w:val="multilevel"/>
    <w:tmpl w:val="0B3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765532"/>
    <w:multiLevelType w:val="multilevel"/>
    <w:tmpl w:val="42E8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7E098F"/>
    <w:multiLevelType w:val="multilevel"/>
    <w:tmpl w:val="F79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90C49EE"/>
    <w:multiLevelType w:val="hybridMultilevel"/>
    <w:tmpl w:val="5784E686"/>
    <w:lvl w:ilvl="0" w:tplc="A84609E8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804AA5"/>
    <w:multiLevelType w:val="hybridMultilevel"/>
    <w:tmpl w:val="A97699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874276"/>
    <w:multiLevelType w:val="hybridMultilevel"/>
    <w:tmpl w:val="EDCA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274C1F"/>
    <w:multiLevelType w:val="hybridMultilevel"/>
    <w:tmpl w:val="E8F22B3C"/>
    <w:lvl w:ilvl="0" w:tplc="9C0AD10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C269CE"/>
    <w:multiLevelType w:val="hybridMultilevel"/>
    <w:tmpl w:val="5A1201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EC1DCE"/>
    <w:multiLevelType w:val="multilevel"/>
    <w:tmpl w:val="238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6B3347"/>
    <w:multiLevelType w:val="hybridMultilevel"/>
    <w:tmpl w:val="E8C455A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232776"/>
    <w:multiLevelType w:val="multilevel"/>
    <w:tmpl w:val="F79A72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40685">
    <w:abstractNumId w:val="47"/>
  </w:num>
  <w:num w:numId="2" w16cid:durableId="1154949173">
    <w:abstractNumId w:val="13"/>
  </w:num>
  <w:num w:numId="3" w16cid:durableId="407925211">
    <w:abstractNumId w:val="26"/>
  </w:num>
  <w:num w:numId="4" w16cid:durableId="1163931808">
    <w:abstractNumId w:val="26"/>
    <w:lvlOverride w:ilvl="0">
      <w:lvl w:ilvl="0" w:tplc="E2DA73BE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  <w:i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73090960">
    <w:abstractNumId w:val="0"/>
  </w:num>
  <w:num w:numId="6" w16cid:durableId="239215164">
    <w:abstractNumId w:val="61"/>
  </w:num>
  <w:num w:numId="7" w16cid:durableId="1573541477">
    <w:abstractNumId w:val="24"/>
  </w:num>
  <w:num w:numId="8" w16cid:durableId="778643912">
    <w:abstractNumId w:val="35"/>
  </w:num>
  <w:num w:numId="9" w16cid:durableId="875775032">
    <w:abstractNumId w:val="4"/>
  </w:num>
  <w:num w:numId="10" w16cid:durableId="1514493496">
    <w:abstractNumId w:val="57"/>
  </w:num>
  <w:num w:numId="11" w16cid:durableId="2023781059">
    <w:abstractNumId w:val="59"/>
  </w:num>
  <w:num w:numId="12" w16cid:durableId="1130517110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39014780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64348487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1257132319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 w16cid:durableId="1838493489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2072462506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42751353">
    <w:abstractNumId w:val="24"/>
    <w:lvlOverride w:ilvl="0">
      <w:lvl w:ilvl="0" w:tplc="C7E8A97A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1014379065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714884372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770927333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384527760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 w16cid:durableId="2066026392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761949374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864703029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547490801">
    <w:abstractNumId w:val="35"/>
    <w:lvlOverride w:ilvl="0">
      <w:lvl w:ilvl="0" w:tplc="9C0AD108">
        <w:start w:val="1"/>
        <w:numFmt w:val="lowerRoman"/>
        <w:lvlText w:val="(%1)"/>
        <w:lvlJc w:val="left"/>
        <w:pPr>
          <w:ind w:left="1440" w:hanging="720"/>
        </w:pPr>
        <w:rPr>
          <w:rFonts w:cs="Times New Roman"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014572477">
    <w:abstractNumId w:val="21"/>
  </w:num>
  <w:num w:numId="28" w16cid:durableId="1655139105">
    <w:abstractNumId w:val="5"/>
  </w:num>
  <w:num w:numId="29" w16cid:durableId="1510220736">
    <w:abstractNumId w:val="33"/>
  </w:num>
  <w:num w:numId="30" w16cid:durableId="1982154607">
    <w:abstractNumId w:val="11"/>
  </w:num>
  <w:num w:numId="31" w16cid:durableId="2012171895">
    <w:abstractNumId w:val="22"/>
  </w:num>
  <w:num w:numId="32" w16cid:durableId="132408990">
    <w:abstractNumId w:val="30"/>
  </w:num>
  <w:num w:numId="33" w16cid:durableId="266162249">
    <w:abstractNumId w:val="23"/>
  </w:num>
  <w:num w:numId="34" w16cid:durableId="737752473">
    <w:abstractNumId w:val="55"/>
  </w:num>
  <w:num w:numId="35" w16cid:durableId="1664510539">
    <w:abstractNumId w:val="34"/>
  </w:num>
  <w:num w:numId="36" w16cid:durableId="1431242642">
    <w:abstractNumId w:val="15"/>
  </w:num>
  <w:num w:numId="37" w16cid:durableId="2012952185">
    <w:abstractNumId w:val="8"/>
  </w:num>
  <w:num w:numId="38" w16cid:durableId="1789280057">
    <w:abstractNumId w:val="7"/>
  </w:num>
  <w:num w:numId="39" w16cid:durableId="1183595127">
    <w:abstractNumId w:val="58"/>
  </w:num>
  <w:num w:numId="40" w16cid:durableId="1888369832">
    <w:abstractNumId w:val="49"/>
  </w:num>
  <w:num w:numId="41" w16cid:durableId="1578980016">
    <w:abstractNumId w:val="51"/>
  </w:num>
  <w:num w:numId="42" w16cid:durableId="941305388">
    <w:abstractNumId w:val="39"/>
  </w:num>
  <w:num w:numId="43" w16cid:durableId="752513885">
    <w:abstractNumId w:val="25"/>
  </w:num>
  <w:num w:numId="44" w16cid:durableId="534971249">
    <w:abstractNumId w:val="9"/>
  </w:num>
  <w:num w:numId="45" w16cid:durableId="1361399375">
    <w:abstractNumId w:val="29"/>
  </w:num>
  <w:num w:numId="46" w16cid:durableId="1278098634">
    <w:abstractNumId w:val="31"/>
  </w:num>
  <w:num w:numId="47" w16cid:durableId="1201163370">
    <w:abstractNumId w:val="12"/>
  </w:num>
  <w:num w:numId="48" w16cid:durableId="1558320120">
    <w:abstractNumId w:val="45"/>
  </w:num>
  <w:num w:numId="49" w16cid:durableId="1497837239">
    <w:abstractNumId w:val="20"/>
  </w:num>
  <w:num w:numId="50" w16cid:durableId="1438284526">
    <w:abstractNumId w:val="54"/>
  </w:num>
  <w:num w:numId="51" w16cid:durableId="1834293392">
    <w:abstractNumId w:val="3"/>
  </w:num>
  <w:num w:numId="52" w16cid:durableId="1234657937">
    <w:abstractNumId w:val="32"/>
  </w:num>
  <w:num w:numId="53" w16cid:durableId="1959099474">
    <w:abstractNumId w:val="44"/>
  </w:num>
  <w:num w:numId="54" w16cid:durableId="1005012130">
    <w:abstractNumId w:val="17"/>
  </w:num>
  <w:num w:numId="55" w16cid:durableId="1206914154">
    <w:abstractNumId w:val="1"/>
  </w:num>
  <w:num w:numId="56" w16cid:durableId="1405643110">
    <w:abstractNumId w:val="40"/>
  </w:num>
  <w:num w:numId="57" w16cid:durableId="1707366780">
    <w:abstractNumId w:val="56"/>
  </w:num>
  <w:num w:numId="58" w16cid:durableId="825128208">
    <w:abstractNumId w:val="38"/>
  </w:num>
  <w:num w:numId="59" w16cid:durableId="404912663">
    <w:abstractNumId w:val="53"/>
  </w:num>
  <w:num w:numId="60" w16cid:durableId="717897778">
    <w:abstractNumId w:val="14"/>
  </w:num>
  <w:num w:numId="61" w16cid:durableId="1714961499">
    <w:abstractNumId w:val="64"/>
  </w:num>
  <w:num w:numId="62" w16cid:durableId="674189644">
    <w:abstractNumId w:val="10"/>
  </w:num>
  <w:num w:numId="63" w16cid:durableId="757212117">
    <w:abstractNumId w:val="62"/>
  </w:num>
  <w:num w:numId="64" w16cid:durableId="1176961253">
    <w:abstractNumId w:val="42"/>
  </w:num>
  <w:num w:numId="65" w16cid:durableId="1281916044">
    <w:abstractNumId w:val="37"/>
  </w:num>
  <w:num w:numId="66" w16cid:durableId="131872432">
    <w:abstractNumId w:val="43"/>
  </w:num>
  <w:num w:numId="67" w16cid:durableId="1221209170">
    <w:abstractNumId w:val="6"/>
  </w:num>
  <w:num w:numId="68" w16cid:durableId="1575164166">
    <w:abstractNumId w:val="19"/>
  </w:num>
  <w:num w:numId="69" w16cid:durableId="841353864">
    <w:abstractNumId w:val="16"/>
  </w:num>
  <w:num w:numId="70" w16cid:durableId="233517962">
    <w:abstractNumId w:val="18"/>
  </w:num>
  <w:num w:numId="71" w16cid:durableId="1808549607">
    <w:abstractNumId w:val="36"/>
  </w:num>
  <w:num w:numId="72" w16cid:durableId="638614027">
    <w:abstractNumId w:val="28"/>
  </w:num>
  <w:num w:numId="73" w16cid:durableId="1365903479">
    <w:abstractNumId w:val="63"/>
  </w:num>
  <w:num w:numId="74" w16cid:durableId="314265670">
    <w:abstractNumId w:val="48"/>
  </w:num>
  <w:num w:numId="75" w16cid:durableId="1014303846">
    <w:abstractNumId w:val="46"/>
  </w:num>
  <w:num w:numId="76" w16cid:durableId="1134252458">
    <w:abstractNumId w:val="27"/>
  </w:num>
  <w:num w:numId="77" w16cid:durableId="1145975826">
    <w:abstractNumId w:val="2"/>
  </w:num>
  <w:num w:numId="78" w16cid:durableId="1270818901">
    <w:abstractNumId w:val="60"/>
  </w:num>
  <w:num w:numId="79" w16cid:durableId="1895772712">
    <w:abstractNumId w:val="52"/>
  </w:num>
  <w:num w:numId="80" w16cid:durableId="312372023">
    <w:abstractNumId w:val="50"/>
  </w:num>
  <w:num w:numId="81" w16cid:durableId="445196061">
    <w:abstractNumId w:val="4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9D"/>
    <w:rsid w:val="000005B5"/>
    <w:rsid w:val="00003038"/>
    <w:rsid w:val="00005CD8"/>
    <w:rsid w:val="00007074"/>
    <w:rsid w:val="00007650"/>
    <w:rsid w:val="0001392E"/>
    <w:rsid w:val="0001502F"/>
    <w:rsid w:val="00020F96"/>
    <w:rsid w:val="00022616"/>
    <w:rsid w:val="00022D87"/>
    <w:rsid w:val="000275C6"/>
    <w:rsid w:val="000304C7"/>
    <w:rsid w:val="00033F3A"/>
    <w:rsid w:val="00041648"/>
    <w:rsid w:val="000428BB"/>
    <w:rsid w:val="00051F43"/>
    <w:rsid w:val="00060FBB"/>
    <w:rsid w:val="00075A20"/>
    <w:rsid w:val="00076B66"/>
    <w:rsid w:val="00084926"/>
    <w:rsid w:val="00087FD0"/>
    <w:rsid w:val="00096184"/>
    <w:rsid w:val="000A3475"/>
    <w:rsid w:val="000A446F"/>
    <w:rsid w:val="000B074B"/>
    <w:rsid w:val="000B23D1"/>
    <w:rsid w:val="000C31DA"/>
    <w:rsid w:val="000D240B"/>
    <w:rsid w:val="00110337"/>
    <w:rsid w:val="00117220"/>
    <w:rsid w:val="00126D2F"/>
    <w:rsid w:val="00131009"/>
    <w:rsid w:val="00132096"/>
    <w:rsid w:val="001436EC"/>
    <w:rsid w:val="00155B19"/>
    <w:rsid w:val="00170EEC"/>
    <w:rsid w:val="00184079"/>
    <w:rsid w:val="00186B8B"/>
    <w:rsid w:val="001A6CBF"/>
    <w:rsid w:val="001B3913"/>
    <w:rsid w:val="001B6331"/>
    <w:rsid w:val="001C252F"/>
    <w:rsid w:val="001D4A65"/>
    <w:rsid w:val="001E5209"/>
    <w:rsid w:val="001E5694"/>
    <w:rsid w:val="001E787E"/>
    <w:rsid w:val="00214739"/>
    <w:rsid w:val="002230EB"/>
    <w:rsid w:val="00223336"/>
    <w:rsid w:val="0022561B"/>
    <w:rsid w:val="00237A33"/>
    <w:rsid w:val="002425A5"/>
    <w:rsid w:val="00243AA9"/>
    <w:rsid w:val="00257452"/>
    <w:rsid w:val="002575E6"/>
    <w:rsid w:val="00265DAB"/>
    <w:rsid w:val="00270D13"/>
    <w:rsid w:val="002712CD"/>
    <w:rsid w:val="002873F0"/>
    <w:rsid w:val="002A4951"/>
    <w:rsid w:val="002B2D7E"/>
    <w:rsid w:val="002B603B"/>
    <w:rsid w:val="002C6ABA"/>
    <w:rsid w:val="002D2145"/>
    <w:rsid w:val="002D38AE"/>
    <w:rsid w:val="002E380F"/>
    <w:rsid w:val="002F4EEF"/>
    <w:rsid w:val="00301116"/>
    <w:rsid w:val="00301461"/>
    <w:rsid w:val="003071E1"/>
    <w:rsid w:val="00307965"/>
    <w:rsid w:val="003223D9"/>
    <w:rsid w:val="00324AFC"/>
    <w:rsid w:val="00325B1F"/>
    <w:rsid w:val="003325B0"/>
    <w:rsid w:val="003352A3"/>
    <w:rsid w:val="003414D8"/>
    <w:rsid w:val="00350535"/>
    <w:rsid w:val="00362F1E"/>
    <w:rsid w:val="00366CAC"/>
    <w:rsid w:val="003921F9"/>
    <w:rsid w:val="00392F81"/>
    <w:rsid w:val="003B05CC"/>
    <w:rsid w:val="003B7DF8"/>
    <w:rsid w:val="003C04F6"/>
    <w:rsid w:val="003D1B97"/>
    <w:rsid w:val="003E3380"/>
    <w:rsid w:val="003E49D1"/>
    <w:rsid w:val="003E552E"/>
    <w:rsid w:val="003F641B"/>
    <w:rsid w:val="00400ABB"/>
    <w:rsid w:val="00412ADA"/>
    <w:rsid w:val="00416F52"/>
    <w:rsid w:val="00421997"/>
    <w:rsid w:val="004244D4"/>
    <w:rsid w:val="004368BB"/>
    <w:rsid w:val="00444699"/>
    <w:rsid w:val="0044508C"/>
    <w:rsid w:val="00451C1E"/>
    <w:rsid w:val="00462103"/>
    <w:rsid w:val="00467950"/>
    <w:rsid w:val="00474195"/>
    <w:rsid w:val="004765C4"/>
    <w:rsid w:val="00476FC4"/>
    <w:rsid w:val="004774B7"/>
    <w:rsid w:val="004836B8"/>
    <w:rsid w:val="004944C5"/>
    <w:rsid w:val="004A1AAA"/>
    <w:rsid w:val="004A1F47"/>
    <w:rsid w:val="004A3D58"/>
    <w:rsid w:val="004A5613"/>
    <w:rsid w:val="004B1146"/>
    <w:rsid w:val="004B4128"/>
    <w:rsid w:val="004C4D6F"/>
    <w:rsid w:val="004C539D"/>
    <w:rsid w:val="004D0397"/>
    <w:rsid w:val="004E0ABC"/>
    <w:rsid w:val="004E4086"/>
    <w:rsid w:val="004F56C9"/>
    <w:rsid w:val="00503676"/>
    <w:rsid w:val="00506BFB"/>
    <w:rsid w:val="00520259"/>
    <w:rsid w:val="005235AF"/>
    <w:rsid w:val="005366DD"/>
    <w:rsid w:val="00543580"/>
    <w:rsid w:val="00543C13"/>
    <w:rsid w:val="005453D4"/>
    <w:rsid w:val="00545B7A"/>
    <w:rsid w:val="00550642"/>
    <w:rsid w:val="00570B3A"/>
    <w:rsid w:val="005816A5"/>
    <w:rsid w:val="00587185"/>
    <w:rsid w:val="005876B4"/>
    <w:rsid w:val="005C67D5"/>
    <w:rsid w:val="005C7B70"/>
    <w:rsid w:val="005D36F1"/>
    <w:rsid w:val="005D64AC"/>
    <w:rsid w:val="0060398D"/>
    <w:rsid w:val="0061526D"/>
    <w:rsid w:val="00625736"/>
    <w:rsid w:val="00631A85"/>
    <w:rsid w:val="00632AE9"/>
    <w:rsid w:val="0064408A"/>
    <w:rsid w:val="006449EC"/>
    <w:rsid w:val="00644D29"/>
    <w:rsid w:val="00646ECB"/>
    <w:rsid w:val="0065648B"/>
    <w:rsid w:val="006569A8"/>
    <w:rsid w:val="00667BB9"/>
    <w:rsid w:val="006739B3"/>
    <w:rsid w:val="0067485B"/>
    <w:rsid w:val="006803B4"/>
    <w:rsid w:val="0068779B"/>
    <w:rsid w:val="006913BE"/>
    <w:rsid w:val="00695635"/>
    <w:rsid w:val="006A0519"/>
    <w:rsid w:val="006B18BD"/>
    <w:rsid w:val="006B779F"/>
    <w:rsid w:val="006C0C11"/>
    <w:rsid w:val="006D454E"/>
    <w:rsid w:val="006E172C"/>
    <w:rsid w:val="006E2BDE"/>
    <w:rsid w:val="006F4FA4"/>
    <w:rsid w:val="006F7FE1"/>
    <w:rsid w:val="00707BDB"/>
    <w:rsid w:val="007119B5"/>
    <w:rsid w:val="007122E4"/>
    <w:rsid w:val="00727B7B"/>
    <w:rsid w:val="00731A2A"/>
    <w:rsid w:val="00734E8D"/>
    <w:rsid w:val="00743355"/>
    <w:rsid w:val="007441F5"/>
    <w:rsid w:val="0074588A"/>
    <w:rsid w:val="00756D4A"/>
    <w:rsid w:val="00762DFF"/>
    <w:rsid w:val="00772277"/>
    <w:rsid w:val="00774885"/>
    <w:rsid w:val="00777C12"/>
    <w:rsid w:val="007814EF"/>
    <w:rsid w:val="0078321D"/>
    <w:rsid w:val="00783F7D"/>
    <w:rsid w:val="00791DD3"/>
    <w:rsid w:val="00794C14"/>
    <w:rsid w:val="007B266C"/>
    <w:rsid w:val="007B6219"/>
    <w:rsid w:val="007B6801"/>
    <w:rsid w:val="007C2528"/>
    <w:rsid w:val="007C3E6C"/>
    <w:rsid w:val="007C5A91"/>
    <w:rsid w:val="007D71C6"/>
    <w:rsid w:val="007E00AE"/>
    <w:rsid w:val="007E7BD0"/>
    <w:rsid w:val="007F36CD"/>
    <w:rsid w:val="00805171"/>
    <w:rsid w:val="00817185"/>
    <w:rsid w:val="00817735"/>
    <w:rsid w:val="008223D7"/>
    <w:rsid w:val="0082798F"/>
    <w:rsid w:val="00855FF7"/>
    <w:rsid w:val="00862CA1"/>
    <w:rsid w:val="00863DB8"/>
    <w:rsid w:val="00866488"/>
    <w:rsid w:val="00881B8C"/>
    <w:rsid w:val="00883955"/>
    <w:rsid w:val="008861B6"/>
    <w:rsid w:val="00887F43"/>
    <w:rsid w:val="008A2810"/>
    <w:rsid w:val="008A3120"/>
    <w:rsid w:val="008C6017"/>
    <w:rsid w:val="008D168B"/>
    <w:rsid w:val="008D526C"/>
    <w:rsid w:val="008E284E"/>
    <w:rsid w:val="008F10B8"/>
    <w:rsid w:val="008F16E2"/>
    <w:rsid w:val="008F1969"/>
    <w:rsid w:val="00910493"/>
    <w:rsid w:val="00914561"/>
    <w:rsid w:val="00915009"/>
    <w:rsid w:val="00930442"/>
    <w:rsid w:val="0093223A"/>
    <w:rsid w:val="0094351F"/>
    <w:rsid w:val="00947876"/>
    <w:rsid w:val="00980EE5"/>
    <w:rsid w:val="009A1DFB"/>
    <w:rsid w:val="009A257D"/>
    <w:rsid w:val="009B4DC0"/>
    <w:rsid w:val="009B60E0"/>
    <w:rsid w:val="009C1D56"/>
    <w:rsid w:val="00A00E69"/>
    <w:rsid w:val="00A0550F"/>
    <w:rsid w:val="00A103FD"/>
    <w:rsid w:val="00A14DEF"/>
    <w:rsid w:val="00A159E4"/>
    <w:rsid w:val="00A17E1C"/>
    <w:rsid w:val="00A21804"/>
    <w:rsid w:val="00A3666A"/>
    <w:rsid w:val="00A37CC6"/>
    <w:rsid w:val="00A43196"/>
    <w:rsid w:val="00A54F3F"/>
    <w:rsid w:val="00A56E28"/>
    <w:rsid w:val="00A616B8"/>
    <w:rsid w:val="00A666A8"/>
    <w:rsid w:val="00A7555A"/>
    <w:rsid w:val="00A76644"/>
    <w:rsid w:val="00A8115B"/>
    <w:rsid w:val="00A82DA1"/>
    <w:rsid w:val="00A83CB8"/>
    <w:rsid w:val="00A85025"/>
    <w:rsid w:val="00A859F2"/>
    <w:rsid w:val="00A9078B"/>
    <w:rsid w:val="00A92B21"/>
    <w:rsid w:val="00A9727F"/>
    <w:rsid w:val="00A97E25"/>
    <w:rsid w:val="00AA33F8"/>
    <w:rsid w:val="00AB1344"/>
    <w:rsid w:val="00AD2AE6"/>
    <w:rsid w:val="00AD78FE"/>
    <w:rsid w:val="00AE61D1"/>
    <w:rsid w:val="00AE77ED"/>
    <w:rsid w:val="00AF027B"/>
    <w:rsid w:val="00AF1EB4"/>
    <w:rsid w:val="00B06DC5"/>
    <w:rsid w:val="00B155F6"/>
    <w:rsid w:val="00B16390"/>
    <w:rsid w:val="00B2497E"/>
    <w:rsid w:val="00B271F0"/>
    <w:rsid w:val="00B315AF"/>
    <w:rsid w:val="00B4655A"/>
    <w:rsid w:val="00B55C19"/>
    <w:rsid w:val="00B56A51"/>
    <w:rsid w:val="00B72D07"/>
    <w:rsid w:val="00B80034"/>
    <w:rsid w:val="00B86A56"/>
    <w:rsid w:val="00B87CBC"/>
    <w:rsid w:val="00B923C8"/>
    <w:rsid w:val="00B926DB"/>
    <w:rsid w:val="00B94741"/>
    <w:rsid w:val="00BA01FA"/>
    <w:rsid w:val="00BA7B78"/>
    <w:rsid w:val="00BB0047"/>
    <w:rsid w:val="00BB7FD6"/>
    <w:rsid w:val="00BC33FD"/>
    <w:rsid w:val="00BD13D8"/>
    <w:rsid w:val="00BE10F2"/>
    <w:rsid w:val="00BE1EBE"/>
    <w:rsid w:val="00BE7698"/>
    <w:rsid w:val="00BF5A19"/>
    <w:rsid w:val="00C0215E"/>
    <w:rsid w:val="00C11730"/>
    <w:rsid w:val="00C15112"/>
    <w:rsid w:val="00C15CB5"/>
    <w:rsid w:val="00C2490F"/>
    <w:rsid w:val="00C3016C"/>
    <w:rsid w:val="00C42117"/>
    <w:rsid w:val="00C442B6"/>
    <w:rsid w:val="00C45826"/>
    <w:rsid w:val="00C46DAA"/>
    <w:rsid w:val="00C51D92"/>
    <w:rsid w:val="00C54B81"/>
    <w:rsid w:val="00C55032"/>
    <w:rsid w:val="00C5751B"/>
    <w:rsid w:val="00C61897"/>
    <w:rsid w:val="00C63538"/>
    <w:rsid w:val="00C65F82"/>
    <w:rsid w:val="00C80ECD"/>
    <w:rsid w:val="00C86501"/>
    <w:rsid w:val="00C91697"/>
    <w:rsid w:val="00C93C15"/>
    <w:rsid w:val="00CB0C9B"/>
    <w:rsid w:val="00CB1A2C"/>
    <w:rsid w:val="00CB375F"/>
    <w:rsid w:val="00CB4A2F"/>
    <w:rsid w:val="00CC2CC2"/>
    <w:rsid w:val="00CD0620"/>
    <w:rsid w:val="00CD56EA"/>
    <w:rsid w:val="00CD70D0"/>
    <w:rsid w:val="00CE28A6"/>
    <w:rsid w:val="00CF356C"/>
    <w:rsid w:val="00CF7606"/>
    <w:rsid w:val="00D2077C"/>
    <w:rsid w:val="00D21C51"/>
    <w:rsid w:val="00D324F3"/>
    <w:rsid w:val="00D36663"/>
    <w:rsid w:val="00D52917"/>
    <w:rsid w:val="00D571FD"/>
    <w:rsid w:val="00D6295C"/>
    <w:rsid w:val="00D716C4"/>
    <w:rsid w:val="00D73D52"/>
    <w:rsid w:val="00D8706B"/>
    <w:rsid w:val="00DA2BA0"/>
    <w:rsid w:val="00DA4ADA"/>
    <w:rsid w:val="00DB263E"/>
    <w:rsid w:val="00DC0A6A"/>
    <w:rsid w:val="00DC7DCF"/>
    <w:rsid w:val="00DD0644"/>
    <w:rsid w:val="00DD5FBD"/>
    <w:rsid w:val="00DE610F"/>
    <w:rsid w:val="00E0014A"/>
    <w:rsid w:val="00E05F45"/>
    <w:rsid w:val="00E066B3"/>
    <w:rsid w:val="00E06CCD"/>
    <w:rsid w:val="00E11F10"/>
    <w:rsid w:val="00E131A8"/>
    <w:rsid w:val="00E27C4C"/>
    <w:rsid w:val="00E33DF7"/>
    <w:rsid w:val="00E53028"/>
    <w:rsid w:val="00E566F9"/>
    <w:rsid w:val="00E616B7"/>
    <w:rsid w:val="00E72900"/>
    <w:rsid w:val="00E74E2C"/>
    <w:rsid w:val="00E75BA6"/>
    <w:rsid w:val="00E76011"/>
    <w:rsid w:val="00E84E8C"/>
    <w:rsid w:val="00E9546A"/>
    <w:rsid w:val="00E95774"/>
    <w:rsid w:val="00E97C1A"/>
    <w:rsid w:val="00EA0FB2"/>
    <w:rsid w:val="00EA24AB"/>
    <w:rsid w:val="00EB08D1"/>
    <w:rsid w:val="00EC2E94"/>
    <w:rsid w:val="00EC2E9C"/>
    <w:rsid w:val="00EE0C05"/>
    <w:rsid w:val="00EE4F3B"/>
    <w:rsid w:val="00EF210E"/>
    <w:rsid w:val="00F07101"/>
    <w:rsid w:val="00F079D1"/>
    <w:rsid w:val="00F11082"/>
    <w:rsid w:val="00F23B73"/>
    <w:rsid w:val="00F23FE1"/>
    <w:rsid w:val="00F322C4"/>
    <w:rsid w:val="00F36BD1"/>
    <w:rsid w:val="00F47197"/>
    <w:rsid w:val="00F524B4"/>
    <w:rsid w:val="00F547A3"/>
    <w:rsid w:val="00F708BC"/>
    <w:rsid w:val="00F74025"/>
    <w:rsid w:val="00F85A00"/>
    <w:rsid w:val="00F85B8C"/>
    <w:rsid w:val="00F91696"/>
    <w:rsid w:val="00F950EF"/>
    <w:rsid w:val="00FA0ED4"/>
    <w:rsid w:val="00FA273A"/>
    <w:rsid w:val="00FA3BD7"/>
    <w:rsid w:val="00FB0858"/>
    <w:rsid w:val="00FB39F5"/>
    <w:rsid w:val="00FC0091"/>
    <w:rsid w:val="00FC0165"/>
    <w:rsid w:val="00FD675D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29EF"/>
  <w15:chartTrackingRefBased/>
  <w15:docId w15:val="{672C3900-1382-476E-B48D-6FD4B325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4E2C"/>
    <w:rPr>
      <w:lang w:val="en-US"/>
    </w:rPr>
  </w:style>
  <w:style w:type="paragraph" w:styleId="1">
    <w:name w:val="heading 1"/>
    <w:basedOn w:val="a0"/>
    <w:next w:val="a0"/>
    <w:link w:val="10"/>
    <w:autoRedefine/>
    <w:qFormat/>
    <w:rsid w:val="00D21C51"/>
    <w:pPr>
      <w:keepNext/>
      <w:tabs>
        <w:tab w:val="left" w:pos="1350"/>
        <w:tab w:val="left" w:pos="1440"/>
      </w:tabs>
      <w:spacing w:after="0" w:line="20" w:lineRule="atLeast"/>
      <w:ind w:left="720" w:hanging="720"/>
      <w:jc w:val="center"/>
      <w:outlineLvl w:val="0"/>
    </w:pPr>
    <w:rPr>
      <w:rFonts w:ascii="Arial Bold" w:eastAsia="Times New Roman" w:hAnsi="Arial Bold" w:cs="Times New Roman"/>
      <w:b/>
      <w:caps/>
      <w:kern w:val="32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412ADA"/>
    <w:pPr>
      <w:keepNext/>
      <w:numPr>
        <w:ilvl w:val="1"/>
        <w:numId w:val="2"/>
      </w:numPr>
      <w:spacing w:after="240" w:line="20" w:lineRule="atLeast"/>
      <w:ind w:left="720"/>
      <w:jc w:val="both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styleId="6">
    <w:name w:val="heading 6"/>
    <w:basedOn w:val="a0"/>
    <w:next w:val="a0"/>
    <w:link w:val="60"/>
    <w:qFormat/>
    <w:rsid w:val="00C15CB5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4"/>
    </w:rPr>
  </w:style>
  <w:style w:type="paragraph" w:styleId="7">
    <w:name w:val="heading 7"/>
    <w:basedOn w:val="a0"/>
    <w:next w:val="a0"/>
    <w:link w:val="70"/>
    <w:qFormat/>
    <w:rsid w:val="00C15CB5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</w:rPr>
  </w:style>
  <w:style w:type="paragraph" w:styleId="8">
    <w:name w:val="heading 8"/>
    <w:basedOn w:val="a0"/>
    <w:next w:val="a0"/>
    <w:link w:val="80"/>
    <w:qFormat/>
    <w:rsid w:val="00C15CB5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4"/>
    </w:rPr>
  </w:style>
  <w:style w:type="paragraph" w:styleId="9">
    <w:name w:val="heading 9"/>
    <w:basedOn w:val="a0"/>
    <w:next w:val="a0"/>
    <w:link w:val="90"/>
    <w:qFormat/>
    <w:rsid w:val="00C15CB5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ADB List Paragraph,List Paragraph1,Recommendation,List Paragraph11,Bulleted List Paragraph,References,List Paragraph (numbered (a)),List_Paragraph,Multilevel para_II,MC Paragraphe Liste,List Bullet-OpsManual,Sub-title,Resume Title,ANNEX"/>
    <w:basedOn w:val="a0"/>
    <w:link w:val="a5"/>
    <w:uiPriority w:val="34"/>
    <w:qFormat/>
    <w:rsid w:val="00E75BA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E7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E75BA6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1"/>
    <w:link w:val="1"/>
    <w:rsid w:val="00D21C51"/>
    <w:rPr>
      <w:rFonts w:ascii="Arial Bold" w:eastAsia="Times New Roman" w:hAnsi="Arial Bold" w:cs="Times New Roman"/>
      <w:b/>
      <w:caps/>
      <w:kern w:val="32"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412ADA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60">
    <w:name w:val="Заголовок 6 Знак"/>
    <w:basedOn w:val="a1"/>
    <w:link w:val="6"/>
    <w:rsid w:val="00C15CB5"/>
    <w:rPr>
      <w:rFonts w:ascii="Arial" w:eastAsia="Times New Roman" w:hAnsi="Arial" w:cs="Times New Roman"/>
      <w:i/>
      <w:szCs w:val="24"/>
      <w:lang w:val="en-US"/>
    </w:rPr>
  </w:style>
  <w:style w:type="character" w:customStyle="1" w:styleId="70">
    <w:name w:val="Заголовок 7 Знак"/>
    <w:basedOn w:val="a1"/>
    <w:link w:val="7"/>
    <w:rsid w:val="00C15CB5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80">
    <w:name w:val="Заголовок 8 Знак"/>
    <w:basedOn w:val="a1"/>
    <w:link w:val="8"/>
    <w:rsid w:val="00C15CB5"/>
    <w:rPr>
      <w:rFonts w:ascii="Arial" w:eastAsia="Times New Roman" w:hAnsi="Arial" w:cs="Times New Roman"/>
      <w:i/>
      <w:sz w:val="20"/>
      <w:szCs w:val="24"/>
      <w:lang w:val="en-US"/>
    </w:rPr>
  </w:style>
  <w:style w:type="character" w:customStyle="1" w:styleId="90">
    <w:name w:val="Заголовок 9 Знак"/>
    <w:basedOn w:val="a1"/>
    <w:link w:val="9"/>
    <w:rsid w:val="00C15CB5"/>
    <w:rPr>
      <w:rFonts w:ascii="Arial" w:eastAsia="Times New Roman" w:hAnsi="Arial" w:cs="Times New Roman"/>
      <w:i/>
      <w:sz w:val="18"/>
      <w:szCs w:val="24"/>
      <w:lang w:val="en-US"/>
    </w:rPr>
  </w:style>
  <w:style w:type="character" w:styleId="a8">
    <w:name w:val="footnote reference"/>
    <w:aliases w:val="ftref,16 Point,Superscript 6 Point,Ref,de nota al pie,fr,Footnote Ref in FtNote,SUPERS,(NECG) Footnote Reference,Fußnotenzeichen DISS,FnR-ANZDEC,½Å¡Á¢ÒýÓÃ,脚注引用,footnote ref,BVI fnr"/>
    <w:uiPriority w:val="99"/>
    <w:qFormat/>
    <w:rsid w:val="00C15CB5"/>
    <w:rPr>
      <w:vertAlign w:val="superscript"/>
    </w:rPr>
  </w:style>
  <w:style w:type="paragraph" w:styleId="a9">
    <w:name w:val="footnote text"/>
    <w:aliases w:val="ft,single space,footnote text,Nbpage Moens,Footnote Text Char Char,ADB,(NECG) Footnote Text,FOOTNOTES,fn,ft Char Char Char,Char Char Char,Char Char Char Char,Char Char,Char Char Char Cha,ft2"/>
    <w:basedOn w:val="a0"/>
    <w:link w:val="aa"/>
    <w:autoRedefine/>
    <w:uiPriority w:val="99"/>
    <w:rsid w:val="00C15CB5"/>
    <w:pPr>
      <w:tabs>
        <w:tab w:val="left" w:pos="187"/>
      </w:tabs>
      <w:spacing w:after="0" w:line="240" w:lineRule="auto"/>
      <w:ind w:left="187" w:hanging="187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aa">
    <w:name w:val="Текст сноски Знак"/>
    <w:aliases w:val="ft Знак,single space Знак,footnote text Знак,Nbpage Moens Знак,Footnote Text Char Char Знак,ADB Знак,(NECG) Footnote Text Знак,FOOTNOTES Знак,fn Знак,ft Char Char Char Знак,Char Char Char Знак,Char Char Char Char Знак,Char Char Знак"/>
    <w:basedOn w:val="a1"/>
    <w:link w:val="a9"/>
    <w:uiPriority w:val="99"/>
    <w:rsid w:val="00C15CB5"/>
    <w:rPr>
      <w:rFonts w:ascii="Arial" w:eastAsia="Times New Roman" w:hAnsi="Arial" w:cs="Times New Roman"/>
      <w:sz w:val="18"/>
      <w:szCs w:val="24"/>
      <w:lang w:val="en-US"/>
    </w:rPr>
  </w:style>
  <w:style w:type="table" w:styleId="ab">
    <w:name w:val="Table Grid"/>
    <w:basedOn w:val="a2"/>
    <w:uiPriority w:val="59"/>
    <w:rsid w:val="00C15CB5"/>
    <w:pPr>
      <w:spacing w:after="80" w:line="240" w:lineRule="auto"/>
      <w:jc w:val="both"/>
    </w:pPr>
    <w:rPr>
      <w:rFonts w:ascii="Arial" w:eastAsia="Times New Roman" w:hAnsi="Arial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C15CB5"/>
    <w:pPr>
      <w:numPr>
        <w:numId w:val="5"/>
      </w:numPr>
      <w:spacing w:after="80" w:line="240" w:lineRule="auto"/>
      <w:contextualSpacing/>
    </w:pPr>
    <w:rPr>
      <w:rFonts w:ascii="Arial" w:eastAsia="Times New Roman" w:hAnsi="Arial" w:cs="Times New Roman"/>
      <w:szCs w:val="24"/>
    </w:rPr>
  </w:style>
  <w:style w:type="character" w:styleId="ac">
    <w:name w:val="annotation reference"/>
    <w:basedOn w:val="a1"/>
    <w:uiPriority w:val="99"/>
    <w:semiHidden/>
    <w:unhideWhenUsed/>
    <w:rsid w:val="004C4D6F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C4D6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C4D6F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4D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C4D6F"/>
    <w:rPr>
      <w:b/>
      <w:bCs/>
      <w:sz w:val="20"/>
      <w:szCs w:val="20"/>
      <w:lang w:val="en-US"/>
    </w:rPr>
  </w:style>
  <w:style w:type="paragraph" w:styleId="af1">
    <w:name w:val="Revision"/>
    <w:hidden/>
    <w:uiPriority w:val="99"/>
    <w:semiHidden/>
    <w:rsid w:val="004C4D6F"/>
    <w:pPr>
      <w:spacing w:after="0" w:line="240" w:lineRule="auto"/>
    </w:pPr>
    <w:rPr>
      <w:lang w:val="en-US"/>
    </w:rPr>
  </w:style>
  <w:style w:type="paragraph" w:styleId="af2">
    <w:name w:val="header"/>
    <w:basedOn w:val="a0"/>
    <w:link w:val="af3"/>
    <w:uiPriority w:val="99"/>
    <w:unhideWhenUsed/>
    <w:rsid w:val="0063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632AE9"/>
    <w:rPr>
      <w:lang w:val="en-US"/>
    </w:rPr>
  </w:style>
  <w:style w:type="paragraph" w:styleId="af4">
    <w:name w:val="footer"/>
    <w:basedOn w:val="a0"/>
    <w:link w:val="af5"/>
    <w:uiPriority w:val="99"/>
    <w:unhideWhenUsed/>
    <w:rsid w:val="0063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632AE9"/>
    <w:rPr>
      <w:lang w:val="en-US"/>
    </w:rPr>
  </w:style>
  <w:style w:type="character" w:customStyle="1" w:styleId="a5">
    <w:name w:val="Абзац списка Знак"/>
    <w:aliases w:val="ADB List Paragraph Знак,List Paragraph1 Знак,Recommendation Знак,List Paragraph11 Знак,Bulleted List Paragraph Знак,References Знак,List Paragraph (numbered (a)) Знак,List_Paragraph Знак,Multilevel para_II Знак,MC Paragraphe Liste Знак"/>
    <w:link w:val="a4"/>
    <w:uiPriority w:val="34"/>
    <w:qFormat/>
    <w:rsid w:val="006E2BDE"/>
    <w:rPr>
      <w:lang w:val="en-US"/>
    </w:rPr>
  </w:style>
  <w:style w:type="paragraph" w:styleId="af6">
    <w:name w:val="Body Text"/>
    <w:basedOn w:val="a0"/>
    <w:link w:val="af7"/>
    <w:uiPriority w:val="99"/>
    <w:rsid w:val="003D1B9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customStyle="1" w:styleId="af7">
    <w:name w:val="Основной текст Знак"/>
    <w:basedOn w:val="a1"/>
    <w:link w:val="af6"/>
    <w:uiPriority w:val="99"/>
    <w:rsid w:val="003D1B97"/>
    <w:rPr>
      <w:rFonts w:ascii="Arial" w:eastAsia="Times New Roman" w:hAnsi="Arial" w:cs="Times New Roman"/>
      <w:snapToGrid w:val="0"/>
      <w:color w:val="000000"/>
      <w:sz w:val="20"/>
      <w:szCs w:val="20"/>
      <w:lang w:val="en-US"/>
    </w:rPr>
  </w:style>
  <w:style w:type="character" w:styleId="af8">
    <w:name w:val="Strong"/>
    <w:basedOn w:val="a1"/>
    <w:uiPriority w:val="22"/>
    <w:qFormat/>
    <w:rsid w:val="001D4A65"/>
    <w:rPr>
      <w:b/>
      <w:bCs/>
    </w:rPr>
  </w:style>
  <w:style w:type="paragraph" w:styleId="af9">
    <w:name w:val="Normal (Web)"/>
    <w:basedOn w:val="a0"/>
    <w:uiPriority w:val="99"/>
    <w:semiHidden/>
    <w:unhideWhenUsed/>
    <w:rsid w:val="001D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1A7C-C2CC-4477-99C7-3CF02BD82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4818</Words>
  <Characters>27464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Azizbek Turdoiyev</dc:creator>
  <cp:keywords/>
  <dc:description/>
  <cp:lastModifiedBy>Ainura Kenjekaraeva</cp:lastModifiedBy>
  <cp:revision>2</cp:revision>
  <cp:lastPrinted>2026-02-05T08:28:00Z</cp:lastPrinted>
  <dcterms:created xsi:type="dcterms:W3CDTF">2026-02-08T07:35:00Z</dcterms:created>
  <dcterms:modified xsi:type="dcterms:W3CDTF">2026-02-08T07:35:00Z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ed07066c-ccba-4b2c-b214-08e130f23b65</vt:lpwstr>
  </property>
</Properties>
</file>