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80899" w14:textId="77777777" w:rsidR="00B112F7" w:rsidRDefault="00B112F7" w:rsidP="00B112F7">
      <w:pPr>
        <w:spacing w:after="240" w:line="276" w:lineRule="auto"/>
        <w:ind w:left="5387"/>
        <w:rPr>
          <w:b/>
          <w:lang w:val="ru-RU"/>
        </w:rPr>
      </w:pPr>
      <w:r>
        <w:rPr>
          <w:b/>
          <w:lang w:val="ru-RU"/>
        </w:rPr>
        <w:t>Заместитель министра энергетики</w:t>
      </w:r>
      <w:r>
        <w:rPr>
          <w:b/>
          <w:lang w:val="ru-RU"/>
        </w:rPr>
        <w:br/>
        <w:t>Кыргызской Республики</w:t>
      </w:r>
    </w:p>
    <w:p w14:paraId="128EC467" w14:textId="77777777" w:rsidR="00B112F7" w:rsidRPr="0069601B" w:rsidRDefault="00B112F7" w:rsidP="00B112F7">
      <w:pPr>
        <w:spacing w:after="240" w:line="276" w:lineRule="auto"/>
        <w:ind w:left="5387"/>
        <w:rPr>
          <w:lang w:val="ru-RU"/>
        </w:rPr>
      </w:pPr>
      <w:r>
        <w:rPr>
          <w:b/>
          <w:lang w:val="ru-RU"/>
        </w:rPr>
        <w:t>________________________________</w:t>
      </w:r>
    </w:p>
    <w:p w14:paraId="0A116FC6" w14:textId="77777777" w:rsidR="00B112F7" w:rsidRPr="00B112F7" w:rsidRDefault="00B112F7" w:rsidP="00B112F7">
      <w:pPr>
        <w:spacing w:after="240" w:line="276" w:lineRule="auto"/>
        <w:ind w:left="5387"/>
        <w:rPr>
          <w:b/>
          <w:lang w:val="en-US"/>
        </w:rPr>
      </w:pPr>
      <w:r>
        <w:rPr>
          <w:b/>
          <w:lang w:val="ru-RU"/>
        </w:rPr>
        <w:t>Н</w:t>
      </w:r>
      <w:r w:rsidRPr="00B112F7">
        <w:rPr>
          <w:b/>
          <w:lang w:val="en-US"/>
        </w:rPr>
        <w:t>.</w:t>
      </w:r>
      <w:r>
        <w:rPr>
          <w:b/>
          <w:lang w:val="ru-RU"/>
        </w:rPr>
        <w:t>М</w:t>
      </w:r>
      <w:r w:rsidRPr="00B112F7">
        <w:rPr>
          <w:b/>
          <w:lang w:val="en-US"/>
        </w:rPr>
        <w:t>.</w:t>
      </w:r>
      <w:r>
        <w:rPr>
          <w:b/>
          <w:lang w:val="ru-RU"/>
        </w:rPr>
        <w:t>Садыков</w:t>
      </w:r>
    </w:p>
    <w:p w14:paraId="59F9B5ED" w14:textId="10A0DF2F" w:rsidR="00B112F7" w:rsidRPr="00B112F7" w:rsidRDefault="00B112F7" w:rsidP="00B112F7">
      <w:pPr>
        <w:spacing w:after="240" w:line="276" w:lineRule="auto"/>
        <w:ind w:left="5387"/>
        <w:rPr>
          <w:b/>
          <w:lang w:val="en-US"/>
        </w:rPr>
      </w:pPr>
      <w:r w:rsidRPr="00B112F7">
        <w:rPr>
          <w:b/>
          <w:lang w:val="en-US"/>
        </w:rPr>
        <w:t>«___» _____________________ 202</w:t>
      </w:r>
      <w:r w:rsidR="00762B32" w:rsidRPr="001C3667">
        <w:rPr>
          <w:b/>
          <w:lang w:val="en-US"/>
        </w:rPr>
        <w:t>5</w:t>
      </w:r>
      <w:r>
        <w:rPr>
          <w:b/>
          <w:lang w:val="ru-RU"/>
        </w:rPr>
        <w:t>г</w:t>
      </w:r>
      <w:r w:rsidRPr="00B112F7">
        <w:rPr>
          <w:b/>
          <w:lang w:val="en-US"/>
        </w:rPr>
        <w:t>.</w:t>
      </w:r>
    </w:p>
    <w:p w14:paraId="022C5BB6" w14:textId="6CD179D6" w:rsidR="00B112F7" w:rsidRDefault="00B112F7" w:rsidP="00B112F7">
      <w:pPr>
        <w:spacing w:after="240" w:line="276" w:lineRule="auto"/>
        <w:jc w:val="center"/>
        <w:rPr>
          <w:b/>
          <w:lang w:val="en-US"/>
        </w:rPr>
      </w:pPr>
      <w:r>
        <w:rPr>
          <w:b/>
          <w:lang w:val="en-US"/>
        </w:rPr>
        <w:t>KYRGYZ REPUBLIC</w:t>
      </w:r>
    </w:p>
    <w:p w14:paraId="05CC6623" w14:textId="368AB41C" w:rsidR="006175CF" w:rsidRDefault="006175CF" w:rsidP="00B112F7">
      <w:pPr>
        <w:spacing w:after="240" w:line="276" w:lineRule="auto"/>
        <w:jc w:val="center"/>
        <w:rPr>
          <w:b/>
          <w:lang w:val="en-US"/>
        </w:rPr>
      </w:pPr>
      <w:r>
        <w:rPr>
          <w:b/>
          <w:lang w:val="en-US"/>
        </w:rPr>
        <w:t>Ministry of Energy of the Kyrgyz Republic</w:t>
      </w:r>
    </w:p>
    <w:p w14:paraId="18001363" w14:textId="77777777" w:rsidR="00B112F7" w:rsidRDefault="00EA0111" w:rsidP="00B112F7">
      <w:pPr>
        <w:spacing w:after="240" w:line="276" w:lineRule="auto"/>
        <w:jc w:val="center"/>
        <w:rPr>
          <w:b/>
          <w:lang w:val="en-US"/>
        </w:rPr>
      </w:pPr>
      <w:r>
        <w:rPr>
          <w:b/>
          <w:lang w:val="ky-KG"/>
        </w:rPr>
        <w:t>Project</w:t>
      </w:r>
      <w:r w:rsidR="00B112F7">
        <w:rPr>
          <w:b/>
          <w:lang w:val="en-US"/>
        </w:rPr>
        <w:t>s</w:t>
      </w:r>
      <w:r>
        <w:rPr>
          <w:b/>
          <w:lang w:val="ky-KG"/>
        </w:rPr>
        <w:t>:</w:t>
      </w:r>
    </w:p>
    <w:p w14:paraId="08683548" w14:textId="33BB5824" w:rsidR="00B112F7" w:rsidRDefault="00B112F7" w:rsidP="00B112F7">
      <w:pPr>
        <w:pStyle w:val="a4"/>
        <w:numPr>
          <w:ilvl w:val="0"/>
          <w:numId w:val="6"/>
        </w:numPr>
        <w:spacing w:after="240" w:line="276" w:lineRule="auto"/>
        <w:ind w:left="714" w:hanging="357"/>
        <w:rPr>
          <w:b/>
          <w:lang w:val="en-US"/>
        </w:rPr>
      </w:pPr>
      <w:r>
        <w:rPr>
          <w:b/>
          <w:lang w:val="en-US"/>
        </w:rPr>
        <w:t>Kyrgyz Energy Modernization and Sustainab</w:t>
      </w:r>
      <w:r w:rsidR="006D1795">
        <w:rPr>
          <w:b/>
          <w:lang w:val="en-US"/>
        </w:rPr>
        <w:t>le Development</w:t>
      </w:r>
      <w:r>
        <w:rPr>
          <w:b/>
          <w:lang w:val="en-US"/>
        </w:rPr>
        <w:t xml:space="preserve"> (KEMS)</w:t>
      </w:r>
    </w:p>
    <w:p w14:paraId="71C91F48" w14:textId="56F5F8E1" w:rsidR="00B112F7" w:rsidRDefault="00B112F7" w:rsidP="00B112F7">
      <w:pPr>
        <w:pStyle w:val="a4"/>
        <w:numPr>
          <w:ilvl w:val="0"/>
          <w:numId w:val="6"/>
        </w:numPr>
        <w:spacing w:after="240" w:line="276" w:lineRule="auto"/>
        <w:ind w:left="714" w:hanging="357"/>
        <w:rPr>
          <w:b/>
          <w:lang w:val="en-US"/>
        </w:rPr>
      </w:pPr>
      <w:r>
        <w:rPr>
          <w:b/>
          <w:lang w:val="en-US"/>
        </w:rPr>
        <w:t>Kyrgyz Renewable Energy Development (KRED)</w:t>
      </w:r>
    </w:p>
    <w:p w14:paraId="05A673EE" w14:textId="6EA132ED" w:rsidR="00EA0111" w:rsidRDefault="00EA0111" w:rsidP="00B112F7">
      <w:pPr>
        <w:pStyle w:val="a4"/>
        <w:numPr>
          <w:ilvl w:val="0"/>
          <w:numId w:val="6"/>
        </w:numPr>
        <w:spacing w:after="240" w:line="276" w:lineRule="auto"/>
        <w:ind w:left="714" w:hanging="357"/>
        <w:rPr>
          <w:b/>
          <w:lang w:val="en-US"/>
        </w:rPr>
      </w:pPr>
      <w:bookmarkStart w:id="0" w:name="_Hlk185435329"/>
      <w:r w:rsidRPr="00B112F7">
        <w:rPr>
          <w:b/>
          <w:lang w:val="en-US"/>
        </w:rPr>
        <w:t>Technical assistance for the Kambarata HPP-1 project</w:t>
      </w:r>
      <w:bookmarkEnd w:id="0"/>
    </w:p>
    <w:p w14:paraId="5BEA305F" w14:textId="59F7750F" w:rsidR="00B112F7" w:rsidRPr="00B112F7" w:rsidRDefault="00B112F7" w:rsidP="00B112F7">
      <w:pPr>
        <w:pStyle w:val="a4"/>
        <w:numPr>
          <w:ilvl w:val="0"/>
          <w:numId w:val="6"/>
        </w:numPr>
        <w:spacing w:after="240" w:line="276" w:lineRule="auto"/>
        <w:ind w:left="714" w:hanging="357"/>
        <w:rPr>
          <w:b/>
          <w:lang w:val="en-US"/>
        </w:rPr>
      </w:pPr>
      <w:r>
        <w:rPr>
          <w:b/>
          <w:lang w:val="en-US"/>
        </w:rPr>
        <w:t xml:space="preserve">Additional Financing for the </w:t>
      </w:r>
      <w:r w:rsidRPr="00B112F7">
        <w:rPr>
          <w:b/>
          <w:lang w:val="en-US"/>
        </w:rPr>
        <w:t>Technical assistance for the Kambarata HPP-1 project</w:t>
      </w:r>
      <w:r>
        <w:rPr>
          <w:b/>
          <w:lang w:val="en-US"/>
        </w:rPr>
        <w:t xml:space="preserve"> (AF KA-1)</w:t>
      </w:r>
    </w:p>
    <w:p w14:paraId="1A7B5FF6" w14:textId="77777777" w:rsidR="00686B29" w:rsidRPr="00C05810" w:rsidRDefault="00686B29" w:rsidP="00B112F7">
      <w:pPr>
        <w:spacing w:after="240" w:line="276" w:lineRule="auto"/>
        <w:jc w:val="center"/>
        <w:rPr>
          <w:b/>
          <w:lang w:val="en-US"/>
        </w:rPr>
      </w:pPr>
    </w:p>
    <w:p w14:paraId="5DBA31AD" w14:textId="25B8D724" w:rsidR="00DC1E45" w:rsidRPr="00C05810" w:rsidRDefault="00C05810" w:rsidP="00B112F7">
      <w:pPr>
        <w:spacing w:after="240" w:line="276" w:lineRule="auto"/>
        <w:jc w:val="center"/>
        <w:rPr>
          <w:b/>
          <w:lang w:val="en-US"/>
        </w:rPr>
      </w:pPr>
      <w:r>
        <w:rPr>
          <w:b/>
          <w:lang w:val="en-US"/>
        </w:rPr>
        <w:t>Terms of Reference</w:t>
      </w:r>
    </w:p>
    <w:p w14:paraId="55CC1CE7" w14:textId="68569074" w:rsidR="00DC1E45" w:rsidRPr="00C05810" w:rsidRDefault="00B112F7" w:rsidP="00B112F7">
      <w:pPr>
        <w:spacing w:after="240" w:line="276" w:lineRule="auto"/>
        <w:jc w:val="center"/>
        <w:rPr>
          <w:b/>
          <w:lang w:val="en-US"/>
        </w:rPr>
      </w:pPr>
      <w:r w:rsidRPr="00C05810">
        <w:rPr>
          <w:b/>
          <w:lang w:val="en-US"/>
        </w:rPr>
        <w:t xml:space="preserve">FOR </w:t>
      </w:r>
      <w:r w:rsidRPr="00B112F7">
        <w:rPr>
          <w:b/>
          <w:lang w:val="en-US"/>
        </w:rPr>
        <w:t>FINANCIAL STATEMENTS AUDIT</w:t>
      </w:r>
    </w:p>
    <w:p w14:paraId="30D90962" w14:textId="242053DF" w:rsidR="00582B04" w:rsidRPr="00A368D4" w:rsidRDefault="00582B04" w:rsidP="00A368D4"/>
    <w:p w14:paraId="7B7B5E90" w14:textId="465893F1" w:rsidR="00DC1E45" w:rsidRPr="00582B04" w:rsidRDefault="00AB69BE" w:rsidP="00B112F7">
      <w:pPr>
        <w:pStyle w:val="a4"/>
        <w:numPr>
          <w:ilvl w:val="0"/>
          <w:numId w:val="1"/>
        </w:numPr>
        <w:suppressAutoHyphens/>
        <w:spacing w:after="240" w:line="276" w:lineRule="auto"/>
        <w:contextualSpacing w:val="0"/>
        <w:jc w:val="both"/>
        <w:rPr>
          <w:b/>
          <w:sz w:val="24"/>
          <w:szCs w:val="24"/>
        </w:rPr>
      </w:pPr>
      <w:r>
        <w:rPr>
          <w:b/>
          <w:sz w:val="24"/>
          <w:szCs w:val="24"/>
        </w:rPr>
        <w:t>Background</w:t>
      </w:r>
    </w:p>
    <w:p w14:paraId="2C9F9DB6" w14:textId="1947A276" w:rsidR="00DC1E45" w:rsidRDefault="001B72B0" w:rsidP="006D1795">
      <w:pPr>
        <w:spacing w:after="240" w:line="276" w:lineRule="auto"/>
        <w:jc w:val="both"/>
        <w:rPr>
          <w:bCs/>
          <w:lang w:val="en-US"/>
        </w:rPr>
      </w:pPr>
      <w:bookmarkStart w:id="1" w:name="_Hlk174451388"/>
      <w:bookmarkStart w:id="2" w:name="_Hlk174457861"/>
      <w:r w:rsidRPr="006D1795">
        <w:rPr>
          <w:bCs/>
          <w:lang w:val="en-US"/>
        </w:rPr>
        <w:t>The Ministry of Energy of the Kyrgyz Republic is implementing the World Bank financed project</w:t>
      </w:r>
      <w:r w:rsidR="00B112F7" w:rsidRPr="006D1795">
        <w:rPr>
          <w:bCs/>
          <w:lang w:val="en-US"/>
        </w:rPr>
        <w:t>s</w:t>
      </w:r>
      <w:r w:rsidR="006D1795">
        <w:rPr>
          <w:bCs/>
          <w:lang w:val="en-US"/>
        </w:rPr>
        <w:t>:</w:t>
      </w:r>
      <w:r w:rsidRPr="006D1795">
        <w:rPr>
          <w:bCs/>
          <w:lang w:val="en-US"/>
        </w:rPr>
        <w:t xml:space="preserve"> </w:t>
      </w:r>
      <w:r w:rsidR="00B112F7" w:rsidRPr="006D1795">
        <w:rPr>
          <w:bCs/>
          <w:lang w:val="en-US"/>
        </w:rPr>
        <w:t>Kyrgyz Energy Modernization and Sustainab</w:t>
      </w:r>
      <w:r w:rsidR="006D1795">
        <w:rPr>
          <w:bCs/>
          <w:lang w:val="en-US"/>
        </w:rPr>
        <w:t>le Development</w:t>
      </w:r>
      <w:r w:rsidR="00B112F7" w:rsidRPr="006D1795">
        <w:rPr>
          <w:bCs/>
          <w:lang w:val="en-US"/>
        </w:rPr>
        <w:t xml:space="preserve"> (KEMS)</w:t>
      </w:r>
      <w:r w:rsidR="006D1795">
        <w:rPr>
          <w:bCs/>
          <w:lang w:val="en-US"/>
        </w:rPr>
        <w:t xml:space="preserve">; </w:t>
      </w:r>
      <w:r w:rsidR="00B112F7" w:rsidRPr="006D1795">
        <w:rPr>
          <w:bCs/>
          <w:lang w:val="en-US"/>
        </w:rPr>
        <w:t>Kyrgyz Renewable Energy Development (KRED)</w:t>
      </w:r>
      <w:r w:rsidR="006D1795">
        <w:rPr>
          <w:bCs/>
          <w:lang w:val="en-US"/>
        </w:rPr>
        <w:t xml:space="preserve">; </w:t>
      </w:r>
      <w:r w:rsidR="00B112F7" w:rsidRPr="00B112F7">
        <w:rPr>
          <w:bCs/>
          <w:lang w:val="en-US"/>
        </w:rPr>
        <w:t>Technical assistance for the Kambarata HPP-1 project</w:t>
      </w:r>
      <w:r w:rsidR="006D1795">
        <w:rPr>
          <w:bCs/>
          <w:lang w:val="en-US"/>
        </w:rPr>
        <w:t xml:space="preserve">; </w:t>
      </w:r>
      <w:r w:rsidR="00B112F7" w:rsidRPr="00B112F7">
        <w:rPr>
          <w:bCs/>
          <w:lang w:val="en-US"/>
        </w:rPr>
        <w:t>Additional Financing for the Technical assistance for the Kambarata HPP-1 project (AF KA-1)</w:t>
      </w:r>
      <w:r w:rsidR="00B112F7">
        <w:rPr>
          <w:bCs/>
          <w:lang w:val="en-US"/>
        </w:rPr>
        <w:t xml:space="preserve">. </w:t>
      </w:r>
      <w:r w:rsidR="006D1795">
        <w:rPr>
          <w:bCs/>
          <w:lang w:val="en-US"/>
        </w:rPr>
        <w:t xml:space="preserve">Two </w:t>
      </w:r>
      <w:r w:rsidRPr="001B72B0">
        <w:rPr>
          <w:bCs/>
          <w:lang w:val="en-US"/>
        </w:rPr>
        <w:t xml:space="preserve">Project Management </w:t>
      </w:r>
      <w:r w:rsidR="0079229D">
        <w:rPr>
          <w:bCs/>
          <w:lang w:val="en-US"/>
        </w:rPr>
        <w:t>Office</w:t>
      </w:r>
      <w:r w:rsidR="006D1795">
        <w:rPr>
          <w:bCs/>
          <w:lang w:val="en-US"/>
        </w:rPr>
        <w:t xml:space="preserve">s </w:t>
      </w:r>
      <w:r w:rsidRPr="001B72B0">
        <w:rPr>
          <w:bCs/>
          <w:lang w:val="en-US"/>
        </w:rPr>
        <w:t>w</w:t>
      </w:r>
      <w:r w:rsidR="006D1795">
        <w:rPr>
          <w:bCs/>
          <w:lang w:val="en-US"/>
        </w:rPr>
        <w:t>ere</w:t>
      </w:r>
      <w:r w:rsidRPr="001B72B0">
        <w:rPr>
          <w:bCs/>
          <w:lang w:val="en-US"/>
        </w:rPr>
        <w:t xml:space="preserve"> established to implement these projects</w:t>
      </w:r>
      <w:r w:rsidR="006D1795">
        <w:rPr>
          <w:bCs/>
          <w:lang w:val="en-US"/>
        </w:rPr>
        <w:t xml:space="preserve">: </w:t>
      </w:r>
      <w:r w:rsidR="006D1795" w:rsidRPr="001B72B0">
        <w:rPr>
          <w:bCs/>
          <w:lang w:val="en-US"/>
        </w:rPr>
        <w:t xml:space="preserve">Project Management </w:t>
      </w:r>
      <w:r w:rsidR="006D1795">
        <w:rPr>
          <w:bCs/>
          <w:lang w:val="en-US"/>
        </w:rPr>
        <w:t xml:space="preserve">Office for implementation of KEMS and KRED projects (PMO KEMS-KRED) and Project Management Office for implementation of projects for </w:t>
      </w:r>
      <w:proofErr w:type="spellStart"/>
      <w:r w:rsidR="006D1795">
        <w:rPr>
          <w:bCs/>
          <w:lang w:val="en-US"/>
        </w:rPr>
        <w:t>Kambarata</w:t>
      </w:r>
      <w:proofErr w:type="spellEnd"/>
      <w:r w:rsidR="006D1795">
        <w:rPr>
          <w:bCs/>
          <w:lang w:val="en-US"/>
        </w:rPr>
        <w:t xml:space="preserve"> HPP-1 (PMO KA-1).</w:t>
      </w:r>
    </w:p>
    <w:bookmarkEnd w:id="1"/>
    <w:p w14:paraId="3FF527F2" w14:textId="0E77F1FB" w:rsidR="001B72B0" w:rsidRPr="001B72B0" w:rsidRDefault="001B72B0" w:rsidP="009E59AB">
      <w:pPr>
        <w:spacing w:after="240" w:line="276" w:lineRule="auto"/>
        <w:jc w:val="both"/>
        <w:rPr>
          <w:bCs/>
          <w:lang w:val="en-US"/>
        </w:rPr>
      </w:pPr>
    </w:p>
    <w:bookmarkEnd w:id="2"/>
    <w:p w14:paraId="027228BC" w14:textId="0B445CA8" w:rsidR="00DC1E45" w:rsidRPr="00DC1E45" w:rsidRDefault="00DC1E45" w:rsidP="009E59AB">
      <w:pPr>
        <w:pStyle w:val="a4"/>
        <w:suppressAutoHyphens/>
        <w:spacing w:after="240" w:line="276" w:lineRule="auto"/>
        <w:ind w:left="1080"/>
        <w:contextualSpacing w:val="0"/>
        <w:jc w:val="both"/>
        <w:rPr>
          <w:b/>
          <w:sz w:val="24"/>
          <w:szCs w:val="24"/>
        </w:rPr>
      </w:pPr>
      <w:r w:rsidRPr="00DC1E45">
        <w:rPr>
          <w:b/>
          <w:sz w:val="24"/>
          <w:szCs w:val="24"/>
        </w:rPr>
        <w:t xml:space="preserve">Purpose and description of the </w:t>
      </w:r>
      <w:r w:rsidR="006175CF" w:rsidRPr="00DC1E45">
        <w:rPr>
          <w:b/>
          <w:sz w:val="24"/>
          <w:szCs w:val="24"/>
        </w:rPr>
        <w:t>Project</w:t>
      </w:r>
      <w:r w:rsidR="006D1795">
        <w:rPr>
          <w:b/>
          <w:sz w:val="24"/>
          <w:szCs w:val="24"/>
        </w:rPr>
        <w:t>s</w:t>
      </w:r>
    </w:p>
    <w:p w14:paraId="134FB64F" w14:textId="472AF2E7" w:rsidR="006D1795" w:rsidRPr="006D1795" w:rsidRDefault="006D1795" w:rsidP="006D1795">
      <w:pPr>
        <w:spacing w:after="240" w:line="276" w:lineRule="auto"/>
        <w:jc w:val="both"/>
        <w:rPr>
          <w:bCs/>
        </w:rPr>
      </w:pPr>
      <w:bookmarkStart w:id="3" w:name="_Hlk174452275"/>
      <w:bookmarkStart w:id="4" w:name="_Hlk174451424"/>
      <w:r w:rsidRPr="006D1795">
        <w:rPr>
          <w:bCs/>
        </w:rPr>
        <w:t>The project “Electricity Sector Modernization and Sustainability Project” (KEMS</w:t>
      </w:r>
      <w:r w:rsidR="008302C6" w:rsidRPr="008302C6">
        <w:rPr>
          <w:lang w:val="en-US"/>
        </w:rPr>
        <w:t xml:space="preserve">, </w:t>
      </w:r>
      <w:r w:rsidR="008302C6">
        <w:t>P</w:t>
      </w:r>
      <w:r w:rsidR="008302C6" w:rsidRPr="008302C6">
        <w:rPr>
          <w:lang w:val="en-US"/>
        </w:rPr>
        <w:t>177871</w:t>
      </w:r>
      <w:r w:rsidRPr="006D1795">
        <w:rPr>
          <w:bCs/>
        </w:rPr>
        <w:t>), funded by the International Development Association in the amount of 58.0 million US dollars, is aimed at improving the financial and operational sustainability of the electric power sector by rehabilitating distribution networks and digitalizing the energy accounting system.</w:t>
      </w:r>
    </w:p>
    <w:p w14:paraId="1A821073" w14:textId="153B6054" w:rsidR="00A64728" w:rsidRPr="00E70219" w:rsidRDefault="006D1795" w:rsidP="006D1795">
      <w:pPr>
        <w:pStyle w:val="a4"/>
        <w:spacing w:after="240" w:line="276" w:lineRule="auto"/>
        <w:ind w:left="0"/>
        <w:contextualSpacing w:val="0"/>
        <w:jc w:val="both"/>
        <w:rPr>
          <w:bCs/>
          <w:sz w:val="24"/>
          <w:szCs w:val="24"/>
        </w:rPr>
      </w:pPr>
      <w:r w:rsidRPr="00E70219">
        <w:rPr>
          <w:bCs/>
          <w:sz w:val="24"/>
          <w:szCs w:val="24"/>
        </w:rPr>
        <w:t>The project "Kyrgyz Renewable Energy Development” (KRED</w:t>
      </w:r>
      <w:r w:rsidR="008302C6" w:rsidRPr="00E70219">
        <w:rPr>
          <w:sz w:val="24"/>
          <w:szCs w:val="24"/>
          <w:lang w:val="en-US"/>
        </w:rPr>
        <w:t xml:space="preserve">, </w:t>
      </w:r>
      <w:r w:rsidR="008302C6" w:rsidRPr="00E70219">
        <w:rPr>
          <w:sz w:val="24"/>
          <w:szCs w:val="24"/>
        </w:rPr>
        <w:t>P</w:t>
      </w:r>
      <w:r w:rsidR="008302C6" w:rsidRPr="00E70219">
        <w:rPr>
          <w:sz w:val="24"/>
          <w:szCs w:val="24"/>
          <w:lang w:val="en-US"/>
        </w:rPr>
        <w:t>178286</w:t>
      </w:r>
      <w:r w:rsidRPr="00E70219">
        <w:rPr>
          <w:bCs/>
          <w:sz w:val="24"/>
          <w:szCs w:val="24"/>
        </w:rPr>
        <w:t xml:space="preserve">), funded by the International Development Association in the amount of 80.2 million US dollars, is aimed at </w:t>
      </w:r>
      <w:r w:rsidRPr="00E70219">
        <w:rPr>
          <w:bCs/>
          <w:sz w:val="24"/>
          <w:szCs w:val="24"/>
        </w:rPr>
        <w:lastRenderedPageBreak/>
        <w:t>ensuring energy security, reliable sustainable operation of the energy system, rational use of water resources, as well as increasing the generating capacity of the Kyrgyz Republic.</w:t>
      </w:r>
    </w:p>
    <w:p w14:paraId="536A4DDC" w14:textId="65D79528" w:rsidR="00BD1542" w:rsidRDefault="00BD1542" w:rsidP="006D1795">
      <w:pPr>
        <w:pStyle w:val="a4"/>
        <w:spacing w:after="240" w:line="276" w:lineRule="auto"/>
        <w:ind w:left="0"/>
        <w:contextualSpacing w:val="0"/>
        <w:jc w:val="both"/>
        <w:rPr>
          <w:bCs/>
          <w:sz w:val="24"/>
          <w:szCs w:val="24"/>
        </w:rPr>
      </w:pPr>
      <w:r>
        <w:rPr>
          <w:bCs/>
          <w:sz w:val="24"/>
          <w:szCs w:val="24"/>
        </w:rPr>
        <w:t>The project “</w:t>
      </w:r>
      <w:r w:rsidR="00AE6D59" w:rsidRPr="001B72B0">
        <w:rPr>
          <w:bCs/>
          <w:sz w:val="24"/>
          <w:szCs w:val="24"/>
          <w:lang w:val="en-US"/>
        </w:rPr>
        <w:t xml:space="preserve">Technical Assistance </w:t>
      </w:r>
      <w:r w:rsidR="00AE6D59">
        <w:rPr>
          <w:bCs/>
          <w:sz w:val="24"/>
          <w:szCs w:val="24"/>
          <w:lang w:val="en-US"/>
        </w:rPr>
        <w:t>for</w:t>
      </w:r>
      <w:r w:rsidR="00AE6D59" w:rsidRPr="001B72B0">
        <w:rPr>
          <w:bCs/>
          <w:sz w:val="24"/>
          <w:szCs w:val="24"/>
          <w:lang w:val="en-US"/>
        </w:rPr>
        <w:t xml:space="preserve"> Kambara</w:t>
      </w:r>
      <w:r w:rsidR="00AE6D59">
        <w:rPr>
          <w:bCs/>
          <w:sz w:val="24"/>
          <w:szCs w:val="24"/>
          <w:lang w:val="en-US"/>
        </w:rPr>
        <w:t xml:space="preserve"> 1</w:t>
      </w:r>
      <w:r w:rsidR="00AE6D59" w:rsidRPr="001B72B0">
        <w:rPr>
          <w:bCs/>
          <w:sz w:val="24"/>
          <w:szCs w:val="24"/>
          <w:lang w:val="en-US"/>
        </w:rPr>
        <w:t xml:space="preserve"> </w:t>
      </w:r>
      <w:r w:rsidR="00AE6D59">
        <w:rPr>
          <w:bCs/>
          <w:sz w:val="24"/>
          <w:szCs w:val="24"/>
          <w:lang w:val="en-US"/>
        </w:rPr>
        <w:t xml:space="preserve">Hydropower Plant </w:t>
      </w:r>
      <w:r w:rsidR="00AE6D59" w:rsidRPr="001B72B0">
        <w:rPr>
          <w:bCs/>
          <w:sz w:val="24"/>
          <w:szCs w:val="24"/>
          <w:lang w:val="en-US"/>
        </w:rPr>
        <w:t>project</w:t>
      </w:r>
      <w:r>
        <w:rPr>
          <w:bCs/>
          <w:sz w:val="24"/>
          <w:szCs w:val="24"/>
        </w:rPr>
        <w:t>”</w:t>
      </w:r>
      <w:r w:rsidR="00A30E5B" w:rsidRPr="00A30E5B">
        <w:rPr>
          <w:bCs/>
          <w:sz w:val="24"/>
          <w:szCs w:val="24"/>
        </w:rPr>
        <w:t xml:space="preserve"> </w:t>
      </w:r>
      <w:r w:rsidR="00A30E5B">
        <w:rPr>
          <w:bCs/>
          <w:sz w:val="24"/>
          <w:szCs w:val="24"/>
        </w:rPr>
        <w:t>(</w:t>
      </w:r>
      <w:r w:rsidR="00A30E5B">
        <w:rPr>
          <w:bCs/>
          <w:sz w:val="24"/>
          <w:szCs w:val="24"/>
          <w:lang w:val="en-US"/>
        </w:rPr>
        <w:t>TA</w:t>
      </w:r>
      <w:r w:rsidR="00A30E5B" w:rsidRPr="00A30E5B">
        <w:rPr>
          <w:bCs/>
          <w:sz w:val="24"/>
          <w:szCs w:val="24"/>
          <w:lang w:val="en-US"/>
        </w:rPr>
        <w:t xml:space="preserve"> </w:t>
      </w:r>
      <w:r w:rsidR="00A30E5B">
        <w:rPr>
          <w:bCs/>
          <w:sz w:val="24"/>
          <w:szCs w:val="24"/>
          <w:lang w:val="en-US"/>
        </w:rPr>
        <w:t>K</w:t>
      </w:r>
      <w:r w:rsidR="00A30E5B" w:rsidRPr="00A30E5B">
        <w:rPr>
          <w:bCs/>
          <w:sz w:val="24"/>
          <w:szCs w:val="24"/>
          <w:lang w:val="en-US"/>
        </w:rPr>
        <w:t xml:space="preserve">-1, </w:t>
      </w:r>
      <w:r w:rsidR="00A30E5B">
        <w:rPr>
          <w:bCs/>
          <w:sz w:val="24"/>
          <w:szCs w:val="24"/>
          <w:lang w:val="en-US"/>
        </w:rPr>
        <w:t>P</w:t>
      </w:r>
      <w:r w:rsidR="00A30E5B" w:rsidRPr="00A30E5B">
        <w:rPr>
          <w:bCs/>
          <w:sz w:val="24"/>
          <w:szCs w:val="24"/>
          <w:lang w:val="en-US"/>
        </w:rPr>
        <w:t>181086)</w:t>
      </w:r>
      <w:r>
        <w:rPr>
          <w:bCs/>
          <w:sz w:val="24"/>
          <w:szCs w:val="24"/>
        </w:rPr>
        <w:t xml:space="preserve">, financed by the International Development Association in the amount of 5.0 million US dollars (hereinafter referred to as the Project), </w:t>
      </w:r>
      <w:r w:rsidR="0079229D" w:rsidRPr="0079229D">
        <w:rPr>
          <w:bCs/>
          <w:sz w:val="24"/>
          <w:szCs w:val="24"/>
        </w:rPr>
        <w:t>aims to update previous studies to confirm the feasibility study, as well as strengthen the ecological and social basis of the Kambara HPP-1 construction project</w:t>
      </w:r>
      <w:r>
        <w:rPr>
          <w:bCs/>
          <w:sz w:val="24"/>
          <w:szCs w:val="24"/>
        </w:rPr>
        <w:t>.</w:t>
      </w:r>
    </w:p>
    <w:p w14:paraId="1550AB20" w14:textId="04AFA68D" w:rsidR="0079229D" w:rsidRDefault="0079229D" w:rsidP="006D1795">
      <w:pPr>
        <w:pStyle w:val="a4"/>
        <w:spacing w:after="240" w:line="276" w:lineRule="auto"/>
        <w:ind w:left="0"/>
        <w:contextualSpacing w:val="0"/>
        <w:jc w:val="both"/>
        <w:rPr>
          <w:bCs/>
          <w:sz w:val="24"/>
          <w:szCs w:val="24"/>
        </w:rPr>
      </w:pPr>
      <w:r w:rsidRPr="0079229D">
        <w:rPr>
          <w:bCs/>
          <w:sz w:val="24"/>
          <w:szCs w:val="24"/>
        </w:rPr>
        <w:t xml:space="preserve">Additional financing </w:t>
      </w:r>
      <w:r>
        <w:rPr>
          <w:bCs/>
          <w:sz w:val="24"/>
          <w:szCs w:val="24"/>
        </w:rPr>
        <w:t xml:space="preserve">for the Technical Assistance of Kambarata 1 Hydropower Plan project </w:t>
      </w:r>
      <w:r w:rsidR="008302C6" w:rsidRPr="008302C6">
        <w:rPr>
          <w:bCs/>
          <w:lang w:val="en-US"/>
        </w:rPr>
        <w:t xml:space="preserve">(AF KA-1, </w:t>
      </w:r>
      <w:r w:rsidR="008302C6">
        <w:rPr>
          <w:bCs/>
          <w:sz w:val="24"/>
          <w:szCs w:val="24"/>
          <w:lang w:val="en-US"/>
        </w:rPr>
        <w:t>P</w:t>
      </w:r>
      <w:r w:rsidR="008302C6" w:rsidRPr="008302C6">
        <w:rPr>
          <w:bCs/>
          <w:sz w:val="24"/>
          <w:szCs w:val="24"/>
          <w:lang w:val="en-US"/>
        </w:rPr>
        <w:t>181086</w:t>
      </w:r>
      <w:r w:rsidR="008302C6" w:rsidRPr="008302C6">
        <w:rPr>
          <w:bCs/>
          <w:lang w:val="en-US"/>
        </w:rPr>
        <w:t xml:space="preserve">) </w:t>
      </w:r>
      <w:r w:rsidRPr="0079229D">
        <w:rPr>
          <w:bCs/>
          <w:sz w:val="24"/>
          <w:szCs w:val="24"/>
        </w:rPr>
        <w:t>in the amount of USD 13.6 million is aimed at completing the work initiated within the framework of the project, as well as selecting a panel of experts, developing a macroeconomically sustainable financing plan and commercial structure for the construction of the Kambarat</w:t>
      </w:r>
      <w:r>
        <w:rPr>
          <w:bCs/>
          <w:sz w:val="24"/>
          <w:szCs w:val="24"/>
        </w:rPr>
        <w:t>a</w:t>
      </w:r>
      <w:r w:rsidRPr="0079229D">
        <w:rPr>
          <w:bCs/>
          <w:sz w:val="24"/>
          <w:szCs w:val="24"/>
        </w:rPr>
        <w:t xml:space="preserve"> 1.</w:t>
      </w:r>
    </w:p>
    <w:p w14:paraId="78240BEF" w14:textId="7C167989" w:rsidR="00044A08" w:rsidRPr="00044A08" w:rsidRDefault="00044A08" w:rsidP="008302C6">
      <w:pPr>
        <w:spacing w:after="240" w:line="276" w:lineRule="auto"/>
        <w:jc w:val="both"/>
        <w:rPr>
          <w:rFonts w:eastAsia="Calibri"/>
          <w:lang w:val="en-US"/>
        </w:rPr>
      </w:pPr>
      <w:bookmarkStart w:id="5" w:name="_Hlk174451467"/>
      <w:bookmarkEnd w:id="3"/>
      <w:bookmarkEnd w:id="4"/>
      <w:r w:rsidRPr="00044A08">
        <w:rPr>
          <w:rFonts w:eastAsia="Calibri"/>
          <w:lang w:val="en-US"/>
        </w:rPr>
        <w:t xml:space="preserve">The Ministry of Energy of the Kyrgyz Republic </w:t>
      </w:r>
      <w:r w:rsidR="00A64728">
        <w:rPr>
          <w:rFonts w:eastAsia="Calibri"/>
          <w:lang w:val="en-US"/>
        </w:rPr>
        <w:t>is</w:t>
      </w:r>
      <w:r w:rsidRPr="00044A08">
        <w:rPr>
          <w:rFonts w:eastAsia="Calibri"/>
          <w:lang w:val="en-US"/>
        </w:rPr>
        <w:t xml:space="preserve"> an </w:t>
      </w:r>
      <w:r w:rsidR="00A30E5B">
        <w:rPr>
          <w:rFonts w:eastAsia="Calibri"/>
          <w:lang w:val="en-US"/>
        </w:rPr>
        <w:t xml:space="preserve">implementing </w:t>
      </w:r>
      <w:r w:rsidRPr="00044A08">
        <w:rPr>
          <w:rFonts w:eastAsia="Calibri"/>
          <w:lang w:val="en-US"/>
        </w:rPr>
        <w:t>agency.</w:t>
      </w:r>
      <w:r w:rsidR="00A64728">
        <w:rPr>
          <w:rFonts w:eastAsia="Calibri"/>
          <w:lang w:val="en-US"/>
        </w:rPr>
        <w:t xml:space="preserve"> Ministry of Labor, Social Security and Migration of the Kyrgyz Republic is and implementing agency for Component 3 of the KEMS project.</w:t>
      </w:r>
    </w:p>
    <w:p w14:paraId="49DCBCE5" w14:textId="10C92A07" w:rsidR="00A64728" w:rsidRDefault="00A64728" w:rsidP="008302C6">
      <w:pPr>
        <w:spacing w:after="240" w:line="276" w:lineRule="auto"/>
        <w:jc w:val="both"/>
        <w:rPr>
          <w:rFonts w:eastAsiaTheme="minorEastAsia" w:cstheme="minorBidi"/>
          <w:bCs/>
          <w:szCs w:val="28"/>
        </w:rPr>
      </w:pPr>
      <w:r w:rsidRPr="00C22EE4">
        <w:rPr>
          <w:rFonts w:eastAsiaTheme="minorEastAsia" w:cstheme="minorBidi"/>
          <w:bCs/>
          <w:szCs w:val="28"/>
        </w:rPr>
        <w:t xml:space="preserve">The Project Management </w:t>
      </w:r>
      <w:r>
        <w:rPr>
          <w:rFonts w:eastAsiaTheme="minorEastAsia" w:cstheme="minorBidi"/>
          <w:bCs/>
          <w:szCs w:val="28"/>
        </w:rPr>
        <w:t>Office</w:t>
      </w:r>
      <w:r w:rsidRPr="00C22EE4">
        <w:rPr>
          <w:rFonts w:eastAsiaTheme="minorEastAsia" w:cstheme="minorBidi"/>
          <w:bCs/>
          <w:szCs w:val="28"/>
        </w:rPr>
        <w:t xml:space="preserve"> </w:t>
      </w:r>
      <w:r>
        <w:rPr>
          <w:rFonts w:eastAsiaTheme="minorEastAsia" w:cstheme="minorBidi"/>
          <w:bCs/>
          <w:szCs w:val="28"/>
        </w:rPr>
        <w:t xml:space="preserve">KEMS-KRED </w:t>
      </w:r>
      <w:r w:rsidRPr="00C22EE4">
        <w:rPr>
          <w:rFonts w:eastAsiaTheme="minorEastAsia" w:cstheme="minorBidi"/>
          <w:bCs/>
          <w:szCs w:val="28"/>
        </w:rPr>
        <w:t>(</w:t>
      </w:r>
      <w:r w:rsidRPr="00044A08">
        <w:rPr>
          <w:rFonts w:eastAsia="Calibri"/>
          <w:lang w:val="en-US"/>
        </w:rPr>
        <w:t xml:space="preserve">hereinafter referred to as the </w:t>
      </w:r>
      <w:r w:rsidRPr="00C22EE4">
        <w:rPr>
          <w:rFonts w:eastAsiaTheme="minorEastAsia" w:cstheme="minorBidi"/>
          <w:bCs/>
          <w:szCs w:val="28"/>
        </w:rPr>
        <w:t>PMO</w:t>
      </w:r>
      <w:r>
        <w:rPr>
          <w:rFonts w:eastAsiaTheme="minorEastAsia" w:cstheme="minorBidi"/>
          <w:bCs/>
          <w:szCs w:val="28"/>
        </w:rPr>
        <w:t xml:space="preserve"> KEMS-KRED</w:t>
      </w:r>
      <w:r w:rsidRPr="00C22EE4">
        <w:rPr>
          <w:rFonts w:eastAsiaTheme="minorEastAsia" w:cstheme="minorBidi"/>
          <w:bCs/>
          <w:szCs w:val="28"/>
        </w:rPr>
        <w:t>) under the Ministry of Energy of the Kyrgyz Republic is engaged in the implementation of KEMS and KRED projects.</w:t>
      </w:r>
    </w:p>
    <w:p w14:paraId="387F52E6" w14:textId="405F84CC" w:rsidR="00DC1E45" w:rsidRPr="00A30E5B" w:rsidRDefault="00044A08" w:rsidP="008302C6">
      <w:pPr>
        <w:spacing w:after="240" w:line="276" w:lineRule="auto"/>
        <w:jc w:val="both"/>
        <w:rPr>
          <w:rFonts w:eastAsia="Calibri"/>
          <w:lang w:val="en-US"/>
        </w:rPr>
      </w:pPr>
      <w:r w:rsidRPr="00044A08">
        <w:rPr>
          <w:rFonts w:eastAsia="Calibri"/>
          <w:lang w:val="en-US"/>
        </w:rPr>
        <w:t xml:space="preserve">The Project Management </w:t>
      </w:r>
      <w:r>
        <w:rPr>
          <w:rFonts w:eastAsia="Calibri"/>
          <w:lang w:val="en-US"/>
        </w:rPr>
        <w:t xml:space="preserve">Office </w:t>
      </w:r>
      <w:r w:rsidR="00A64728">
        <w:rPr>
          <w:rFonts w:eastAsia="Calibri"/>
          <w:lang w:val="en-US"/>
        </w:rPr>
        <w:t xml:space="preserve">PMO KA-1 </w:t>
      </w:r>
      <w:r w:rsidRPr="00044A08">
        <w:rPr>
          <w:rFonts w:eastAsia="Calibri"/>
          <w:lang w:val="en-US"/>
        </w:rPr>
        <w:t xml:space="preserve">(hereinafter referred to as the </w:t>
      </w:r>
      <w:r w:rsidR="00A30E5B">
        <w:rPr>
          <w:rFonts w:eastAsia="Calibri"/>
          <w:lang w:val="en-US"/>
        </w:rPr>
        <w:t>PMO K</w:t>
      </w:r>
      <w:r w:rsidR="00A64728">
        <w:rPr>
          <w:rFonts w:eastAsia="Calibri"/>
          <w:lang w:val="en-US"/>
        </w:rPr>
        <w:t>A</w:t>
      </w:r>
      <w:r w:rsidR="00A30E5B">
        <w:rPr>
          <w:rFonts w:eastAsia="Calibri"/>
          <w:lang w:val="en-US"/>
        </w:rPr>
        <w:t>-1</w:t>
      </w:r>
      <w:r w:rsidRPr="00044A08">
        <w:rPr>
          <w:rFonts w:eastAsia="Calibri"/>
          <w:lang w:val="en-US"/>
        </w:rPr>
        <w:t>) under the Ministry of Energy of the Kyrgyz Republic will be engaged in the implementation of the project</w:t>
      </w:r>
      <w:r w:rsidR="00A64728">
        <w:rPr>
          <w:rFonts w:eastAsia="Calibri"/>
          <w:lang w:val="en-US"/>
        </w:rPr>
        <w:t xml:space="preserve">s </w:t>
      </w:r>
      <w:r w:rsidR="00A64728" w:rsidRPr="001B72B0">
        <w:rPr>
          <w:bCs/>
          <w:lang w:val="en-US"/>
        </w:rPr>
        <w:t xml:space="preserve">Technical Assistance </w:t>
      </w:r>
      <w:r w:rsidR="00A64728">
        <w:rPr>
          <w:bCs/>
          <w:lang w:val="en-US"/>
        </w:rPr>
        <w:t>for</w:t>
      </w:r>
      <w:r w:rsidR="00A64728" w:rsidRPr="001B72B0">
        <w:rPr>
          <w:bCs/>
          <w:lang w:val="en-US"/>
        </w:rPr>
        <w:t xml:space="preserve"> Kambara</w:t>
      </w:r>
      <w:r w:rsidR="00A64728">
        <w:rPr>
          <w:bCs/>
          <w:lang w:val="en-US"/>
        </w:rPr>
        <w:t xml:space="preserve"> 1</w:t>
      </w:r>
      <w:r w:rsidR="00A64728" w:rsidRPr="001B72B0">
        <w:rPr>
          <w:bCs/>
          <w:lang w:val="en-US"/>
        </w:rPr>
        <w:t xml:space="preserve"> </w:t>
      </w:r>
      <w:r w:rsidR="00A64728">
        <w:rPr>
          <w:bCs/>
          <w:lang w:val="en-US"/>
        </w:rPr>
        <w:t xml:space="preserve">Hydropower Plant </w:t>
      </w:r>
      <w:r w:rsidR="00A64728" w:rsidRPr="001B72B0">
        <w:rPr>
          <w:bCs/>
          <w:lang w:val="en-US"/>
        </w:rPr>
        <w:t>project</w:t>
      </w:r>
      <w:r w:rsidR="00A64728">
        <w:rPr>
          <w:bCs/>
          <w:lang w:val="en-US"/>
        </w:rPr>
        <w:t xml:space="preserve"> (TA KA-1) and </w:t>
      </w:r>
      <w:r w:rsidR="00A64728" w:rsidRPr="0079229D">
        <w:rPr>
          <w:bCs/>
        </w:rPr>
        <w:t xml:space="preserve">Additional financing </w:t>
      </w:r>
      <w:r w:rsidR="00A64728">
        <w:rPr>
          <w:bCs/>
        </w:rPr>
        <w:t>for the Technical Assistance of Kambarata 1 Hydropower Plant project (AF KA-1)</w:t>
      </w:r>
    </w:p>
    <w:bookmarkEnd w:id="5"/>
    <w:p w14:paraId="35CF6E1A" w14:textId="77777777" w:rsidR="00044A08" w:rsidRPr="00A30E5B" w:rsidRDefault="00044A08" w:rsidP="00B112F7">
      <w:pPr>
        <w:spacing w:after="240" w:line="276" w:lineRule="auto"/>
        <w:rPr>
          <w:rFonts w:eastAsia="Calibri"/>
          <w:lang w:val="en-US"/>
        </w:rPr>
      </w:pPr>
    </w:p>
    <w:p w14:paraId="079C2045" w14:textId="41F67854" w:rsidR="00DC1E45" w:rsidRPr="00F20805" w:rsidRDefault="00A368D4" w:rsidP="00B112F7">
      <w:pPr>
        <w:pStyle w:val="a4"/>
        <w:numPr>
          <w:ilvl w:val="0"/>
          <w:numId w:val="1"/>
        </w:numPr>
        <w:suppressAutoHyphens/>
        <w:spacing w:after="240" w:line="276" w:lineRule="auto"/>
        <w:contextualSpacing w:val="0"/>
        <w:jc w:val="both"/>
        <w:rPr>
          <w:b/>
          <w:sz w:val="24"/>
          <w:szCs w:val="24"/>
        </w:rPr>
      </w:pPr>
      <w:r>
        <w:rPr>
          <w:b/>
          <w:sz w:val="24"/>
          <w:szCs w:val="24"/>
        </w:rPr>
        <w:t>Objective</w:t>
      </w:r>
    </w:p>
    <w:p w14:paraId="2D8EE49B" w14:textId="69105CA6" w:rsidR="001E6CE4" w:rsidRDefault="00A64728" w:rsidP="00B112F7">
      <w:pPr>
        <w:spacing w:after="240" w:line="276" w:lineRule="auto"/>
        <w:jc w:val="both"/>
        <w:rPr>
          <w:lang w:val="en-US"/>
        </w:rPr>
      </w:pPr>
      <w:r w:rsidRPr="00A64728">
        <w:rPr>
          <w:lang w:val="en-US"/>
        </w:rPr>
        <w:t>The objective of the audit of the project</w:t>
      </w:r>
      <w:r w:rsidR="00AB69BE">
        <w:rPr>
          <w:lang w:val="en-US"/>
        </w:rPr>
        <w:t>s’</w:t>
      </w:r>
      <w:r w:rsidRPr="00A64728">
        <w:rPr>
          <w:lang w:val="en-US"/>
        </w:rPr>
        <w:t xml:space="preserve"> financial statements is to enable the auditor to express a professional opinion</w:t>
      </w:r>
      <w:r w:rsidR="00AB69BE">
        <w:rPr>
          <w:lang w:val="en-US"/>
        </w:rPr>
        <w:t>s</w:t>
      </w:r>
      <w:r w:rsidRPr="00A64728">
        <w:rPr>
          <w:lang w:val="en-US"/>
        </w:rPr>
        <w:t xml:space="preserve"> on the projects</w:t>
      </w:r>
      <w:r w:rsidR="00E70219">
        <w:rPr>
          <w:lang w:val="en-US"/>
        </w:rPr>
        <w:t>’</w:t>
      </w:r>
      <w:r w:rsidRPr="00A64728">
        <w:rPr>
          <w:lang w:val="en-US"/>
        </w:rPr>
        <w:t xml:space="preserve"> financial position</w:t>
      </w:r>
      <w:r w:rsidR="00E70219">
        <w:rPr>
          <w:lang w:val="en-US"/>
        </w:rPr>
        <w:t>:</w:t>
      </w:r>
      <w:r w:rsidRPr="00A64728">
        <w:rPr>
          <w:lang w:val="en-US"/>
        </w:rPr>
        <w:t xml:space="preserve"> </w:t>
      </w:r>
    </w:p>
    <w:p w14:paraId="3CA3A1B7" w14:textId="5B5272B0" w:rsidR="002B4668" w:rsidRDefault="002B4668" w:rsidP="002B4668">
      <w:pPr>
        <w:pStyle w:val="a4"/>
        <w:numPr>
          <w:ilvl w:val="0"/>
          <w:numId w:val="16"/>
        </w:numPr>
        <w:spacing w:after="240" w:line="276" w:lineRule="auto"/>
        <w:ind w:left="714" w:hanging="357"/>
        <w:contextualSpacing w:val="0"/>
        <w:jc w:val="both"/>
        <w:rPr>
          <w:sz w:val="24"/>
          <w:szCs w:val="24"/>
          <w:lang w:val="en-US"/>
        </w:rPr>
      </w:pPr>
      <w:r>
        <w:rPr>
          <w:sz w:val="24"/>
          <w:szCs w:val="24"/>
          <w:lang w:val="en-US"/>
        </w:rPr>
        <w:t xml:space="preserve">KEMS project – </w:t>
      </w:r>
      <w:r w:rsidR="00A64728" w:rsidRPr="002B4668">
        <w:rPr>
          <w:sz w:val="24"/>
          <w:szCs w:val="24"/>
          <w:lang w:val="en-US"/>
        </w:rPr>
        <w:t xml:space="preserve">as at the end of </w:t>
      </w:r>
      <w:r>
        <w:rPr>
          <w:sz w:val="24"/>
          <w:szCs w:val="24"/>
          <w:lang w:val="en-US"/>
        </w:rPr>
        <w:t>December 31, 2023; December 31, 2024; December 31, 2025; December 31, 2026; December 31, 2027</w:t>
      </w:r>
      <w:r w:rsidR="00985F96">
        <w:rPr>
          <w:sz w:val="24"/>
          <w:szCs w:val="24"/>
          <w:lang w:val="en-US"/>
        </w:rPr>
        <w:t>, and including Grace period till April 30, 2028</w:t>
      </w:r>
      <w:r>
        <w:rPr>
          <w:sz w:val="24"/>
          <w:szCs w:val="24"/>
          <w:lang w:val="en-US"/>
        </w:rPr>
        <w:t>;</w:t>
      </w:r>
      <w:r w:rsidR="00A64728" w:rsidRPr="002B4668">
        <w:rPr>
          <w:sz w:val="24"/>
          <w:szCs w:val="24"/>
          <w:lang w:val="en-US"/>
        </w:rPr>
        <w:t xml:space="preserve"> and of the income and expenditure for the accounting period ending on that date</w:t>
      </w:r>
      <w:r>
        <w:rPr>
          <w:sz w:val="24"/>
          <w:szCs w:val="24"/>
          <w:lang w:val="en-US"/>
        </w:rPr>
        <w:t>;</w:t>
      </w:r>
    </w:p>
    <w:p w14:paraId="6C5D8240" w14:textId="7D2245B6" w:rsidR="002B4668" w:rsidRPr="002B4668" w:rsidRDefault="002B4668" w:rsidP="002B4668">
      <w:pPr>
        <w:pStyle w:val="a4"/>
        <w:numPr>
          <w:ilvl w:val="0"/>
          <w:numId w:val="16"/>
        </w:numPr>
        <w:spacing w:after="240" w:line="276" w:lineRule="auto"/>
        <w:ind w:left="714" w:hanging="357"/>
        <w:contextualSpacing w:val="0"/>
        <w:jc w:val="both"/>
        <w:rPr>
          <w:sz w:val="24"/>
          <w:szCs w:val="24"/>
          <w:lang w:val="en-US"/>
        </w:rPr>
      </w:pPr>
      <w:r>
        <w:rPr>
          <w:sz w:val="24"/>
          <w:szCs w:val="24"/>
          <w:lang w:val="en-US"/>
        </w:rPr>
        <w:t xml:space="preserve">KRED project – </w:t>
      </w:r>
      <w:r w:rsidRPr="002B4668">
        <w:rPr>
          <w:sz w:val="24"/>
          <w:szCs w:val="24"/>
          <w:lang w:val="en-US"/>
        </w:rPr>
        <w:t xml:space="preserve">as at the end of </w:t>
      </w:r>
      <w:r>
        <w:rPr>
          <w:sz w:val="24"/>
          <w:szCs w:val="24"/>
          <w:lang w:val="en-US"/>
        </w:rPr>
        <w:t>December 31, 2025; December 31, 2026; December 31, 2027;</w:t>
      </w:r>
      <w:r w:rsidRPr="002B4668">
        <w:rPr>
          <w:sz w:val="24"/>
          <w:szCs w:val="24"/>
          <w:lang w:val="en-US"/>
        </w:rPr>
        <w:t xml:space="preserve"> and of the income and expenditure for the accounting period ending on that date</w:t>
      </w:r>
      <w:r>
        <w:rPr>
          <w:sz w:val="24"/>
          <w:szCs w:val="24"/>
          <w:lang w:val="en-US"/>
        </w:rPr>
        <w:t>;</w:t>
      </w:r>
    </w:p>
    <w:p w14:paraId="5A5AB461" w14:textId="26D94FFA" w:rsidR="002B4668" w:rsidRPr="002B4668" w:rsidRDefault="00985F96" w:rsidP="002B4668">
      <w:pPr>
        <w:pStyle w:val="a4"/>
        <w:numPr>
          <w:ilvl w:val="0"/>
          <w:numId w:val="16"/>
        </w:numPr>
        <w:spacing w:after="240" w:line="276" w:lineRule="auto"/>
        <w:ind w:left="714" w:hanging="357"/>
        <w:contextualSpacing w:val="0"/>
        <w:jc w:val="both"/>
        <w:rPr>
          <w:sz w:val="24"/>
          <w:szCs w:val="24"/>
          <w:lang w:val="en-US"/>
        </w:rPr>
      </w:pPr>
      <w:r>
        <w:rPr>
          <w:sz w:val="24"/>
          <w:szCs w:val="24"/>
          <w:lang w:val="en-US"/>
        </w:rPr>
        <w:t xml:space="preserve">Original </w:t>
      </w:r>
      <w:r w:rsidR="002B4668">
        <w:rPr>
          <w:sz w:val="24"/>
          <w:szCs w:val="24"/>
          <w:lang w:val="en-US"/>
        </w:rPr>
        <w:t xml:space="preserve">financing of the Technical Assistance for Kambarata-1 Hydropower project – </w:t>
      </w:r>
      <w:r w:rsidR="002B4668" w:rsidRPr="002B4668">
        <w:rPr>
          <w:sz w:val="24"/>
          <w:szCs w:val="24"/>
          <w:lang w:val="en-US"/>
        </w:rPr>
        <w:t xml:space="preserve">as at the end of </w:t>
      </w:r>
      <w:r w:rsidR="002B4668">
        <w:rPr>
          <w:sz w:val="24"/>
          <w:szCs w:val="24"/>
          <w:lang w:val="en-US"/>
        </w:rPr>
        <w:t>December 31, 2024; December 31, 2025;</w:t>
      </w:r>
      <w:r w:rsidR="002B4668" w:rsidRPr="002B4668">
        <w:rPr>
          <w:sz w:val="24"/>
          <w:szCs w:val="24"/>
          <w:lang w:val="en-US"/>
        </w:rPr>
        <w:t xml:space="preserve"> and of the income and expenditure for the accounting period ending on that date</w:t>
      </w:r>
      <w:r w:rsidR="002B4668">
        <w:rPr>
          <w:sz w:val="24"/>
          <w:szCs w:val="24"/>
          <w:lang w:val="en-US"/>
        </w:rPr>
        <w:t>;</w:t>
      </w:r>
    </w:p>
    <w:p w14:paraId="48FAF9C3" w14:textId="25CB32D3" w:rsidR="002B4668" w:rsidRPr="002B4668" w:rsidRDefault="002B4668" w:rsidP="002B4668">
      <w:pPr>
        <w:pStyle w:val="a4"/>
        <w:numPr>
          <w:ilvl w:val="0"/>
          <w:numId w:val="16"/>
        </w:numPr>
        <w:spacing w:after="240" w:line="276" w:lineRule="auto"/>
        <w:ind w:left="714" w:hanging="357"/>
        <w:contextualSpacing w:val="0"/>
        <w:jc w:val="both"/>
        <w:rPr>
          <w:sz w:val="24"/>
          <w:szCs w:val="24"/>
          <w:lang w:val="en-US"/>
        </w:rPr>
      </w:pPr>
      <w:r>
        <w:rPr>
          <w:sz w:val="24"/>
          <w:szCs w:val="24"/>
          <w:lang w:val="en-US"/>
        </w:rPr>
        <w:lastRenderedPageBreak/>
        <w:t xml:space="preserve">Additional financing of the Technical Assistance for Kambarata-1 Hydropower project – </w:t>
      </w:r>
      <w:r w:rsidRPr="002B4668">
        <w:rPr>
          <w:sz w:val="24"/>
          <w:szCs w:val="24"/>
          <w:lang w:val="en-US"/>
        </w:rPr>
        <w:t xml:space="preserve">as at the end of </w:t>
      </w:r>
      <w:r>
        <w:rPr>
          <w:sz w:val="24"/>
          <w:szCs w:val="24"/>
          <w:lang w:val="en-US"/>
        </w:rPr>
        <w:t>December 31, 2025; December 31, 2026; December 31, 2027;</w:t>
      </w:r>
      <w:r w:rsidRPr="002B4668">
        <w:rPr>
          <w:sz w:val="24"/>
          <w:szCs w:val="24"/>
          <w:lang w:val="en-US"/>
        </w:rPr>
        <w:t xml:space="preserve"> and of the income and expenditure for the accounting period ending on that date</w:t>
      </w:r>
      <w:r>
        <w:rPr>
          <w:sz w:val="24"/>
          <w:szCs w:val="24"/>
          <w:lang w:val="en-US"/>
        </w:rPr>
        <w:t>;</w:t>
      </w:r>
    </w:p>
    <w:p w14:paraId="12844F10" w14:textId="5EFA1FD2" w:rsidR="00044A08" w:rsidRPr="00A30E5B" w:rsidRDefault="00A64728" w:rsidP="00B112F7">
      <w:pPr>
        <w:spacing w:after="240" w:line="276" w:lineRule="auto"/>
        <w:jc w:val="both"/>
        <w:rPr>
          <w:lang w:val="en-US"/>
        </w:rPr>
      </w:pPr>
      <w:r w:rsidRPr="00A64728">
        <w:rPr>
          <w:lang w:val="en-US"/>
        </w:rPr>
        <w:t>The project’s books of account provide the basis for preparation of the financial statements and are established to reflect the financial transactions in respect of the project. Also, the auditor is expected to carry out tests to confirm that goods and services financed have been procured in accordance with the relevant general conditions and relevant financing agreements, including specific provisions of the World Bank “Procurement Regulations for IPF Borrowers (</w:t>
      </w:r>
      <w:r w:rsidR="00333B65">
        <w:rPr>
          <w:lang w:val="en-US"/>
        </w:rPr>
        <w:t>November</w:t>
      </w:r>
      <w:r w:rsidRPr="00A64728">
        <w:rPr>
          <w:lang w:val="en-US"/>
        </w:rPr>
        <w:t xml:space="preserve"> 20</w:t>
      </w:r>
      <w:r w:rsidR="00333B65">
        <w:rPr>
          <w:lang w:val="en-US"/>
        </w:rPr>
        <w:t>20</w:t>
      </w:r>
      <w:r w:rsidRPr="00A64728">
        <w:rPr>
          <w:lang w:val="en-US"/>
        </w:rPr>
        <w:t>), revised (</w:t>
      </w:r>
      <w:r w:rsidR="00333B65">
        <w:rPr>
          <w:lang w:val="en-US"/>
        </w:rPr>
        <w:t>September</w:t>
      </w:r>
      <w:r w:rsidRPr="00A64728">
        <w:rPr>
          <w:lang w:val="en-US"/>
        </w:rPr>
        <w:t xml:space="preserve"> 20</w:t>
      </w:r>
      <w:r w:rsidR="00333B65">
        <w:rPr>
          <w:lang w:val="en-US"/>
        </w:rPr>
        <w:t>23</w:t>
      </w:r>
      <w:r w:rsidRPr="00A64728">
        <w:rPr>
          <w:lang w:val="en-US"/>
        </w:rPr>
        <w:t>) or, there applicable, the Law on Public Procurement of the Kyrgyz Republic.</w:t>
      </w:r>
    </w:p>
    <w:p w14:paraId="78DB8311" w14:textId="77777777" w:rsidR="00DC1E45" w:rsidRPr="00C05810" w:rsidRDefault="00DC1E45" w:rsidP="00B112F7">
      <w:pPr>
        <w:spacing w:after="240" w:line="276" w:lineRule="auto"/>
        <w:jc w:val="both"/>
        <w:rPr>
          <w:lang w:val="en-US"/>
        </w:rPr>
      </w:pPr>
    </w:p>
    <w:p w14:paraId="184009C1" w14:textId="762F5AB4" w:rsidR="00DC1E45" w:rsidRPr="00F20805" w:rsidRDefault="00462443" w:rsidP="00B112F7">
      <w:pPr>
        <w:pStyle w:val="a4"/>
        <w:numPr>
          <w:ilvl w:val="0"/>
          <w:numId w:val="1"/>
        </w:numPr>
        <w:suppressAutoHyphens/>
        <w:spacing w:after="240" w:line="276" w:lineRule="auto"/>
        <w:contextualSpacing w:val="0"/>
        <w:jc w:val="both"/>
        <w:rPr>
          <w:b/>
          <w:sz w:val="24"/>
          <w:szCs w:val="24"/>
        </w:rPr>
      </w:pPr>
      <w:r w:rsidRPr="00462443">
        <w:rPr>
          <w:b/>
          <w:sz w:val="24"/>
          <w:szCs w:val="24"/>
        </w:rPr>
        <w:t>Responsibility for preparation of financial statements</w:t>
      </w:r>
    </w:p>
    <w:p w14:paraId="6BC2FE36" w14:textId="7F6993CD" w:rsidR="00DC1E45" w:rsidRDefault="00462443" w:rsidP="00B112F7">
      <w:pPr>
        <w:spacing w:after="240" w:line="276" w:lineRule="auto"/>
        <w:jc w:val="both"/>
        <w:rPr>
          <w:lang w:val="en-US"/>
        </w:rPr>
      </w:pPr>
      <w:r w:rsidRPr="00462443">
        <w:rPr>
          <w:lang w:val="en-US"/>
        </w:rPr>
        <w:t>The project</w:t>
      </w:r>
      <w:r w:rsidR="00AB69BE">
        <w:rPr>
          <w:lang w:val="en-US"/>
        </w:rPr>
        <w:t>s’</w:t>
      </w:r>
      <w:r w:rsidRPr="00462443">
        <w:rPr>
          <w:lang w:val="en-US"/>
        </w:rPr>
        <w:t xml:space="preserve"> management is responsible for the preparation of financial statements, including the maintenance of adequate accounting records and internal controls, the selection and application of accounting policies, the safeguarding of the assets of the project, and adequate disclosure.  As part of the audit process, the auditor will request from management written confirmation concerning representations made to us in connection with the audit.</w:t>
      </w:r>
    </w:p>
    <w:p w14:paraId="00214FCE" w14:textId="77777777" w:rsidR="00462443" w:rsidRDefault="00462443" w:rsidP="00B112F7">
      <w:pPr>
        <w:spacing w:after="240" w:line="276" w:lineRule="auto"/>
        <w:jc w:val="both"/>
        <w:rPr>
          <w:lang w:val="en-US"/>
        </w:rPr>
      </w:pPr>
    </w:p>
    <w:p w14:paraId="2658B9D3" w14:textId="77777777" w:rsidR="00462443" w:rsidRPr="00F20805" w:rsidRDefault="00462443" w:rsidP="00462443">
      <w:pPr>
        <w:pStyle w:val="a4"/>
        <w:numPr>
          <w:ilvl w:val="0"/>
          <w:numId w:val="1"/>
        </w:numPr>
        <w:suppressAutoHyphens/>
        <w:spacing w:after="240" w:line="276" w:lineRule="auto"/>
        <w:contextualSpacing w:val="0"/>
        <w:jc w:val="both"/>
        <w:rPr>
          <w:b/>
          <w:sz w:val="24"/>
          <w:szCs w:val="24"/>
        </w:rPr>
      </w:pPr>
      <w:r w:rsidRPr="00F20805">
        <w:rPr>
          <w:b/>
          <w:sz w:val="24"/>
          <w:szCs w:val="24"/>
        </w:rPr>
        <w:t>Scope of work</w:t>
      </w:r>
    </w:p>
    <w:p w14:paraId="73237B25" w14:textId="6C8B84B3" w:rsidR="00333B65" w:rsidRDefault="00AB69BE" w:rsidP="00462443">
      <w:pPr>
        <w:spacing w:after="240" w:line="276" w:lineRule="auto"/>
        <w:jc w:val="both"/>
        <w:rPr>
          <w:lang w:val="en-US"/>
        </w:rPr>
      </w:pPr>
      <w:r>
        <w:rPr>
          <w:lang w:val="en-US"/>
        </w:rPr>
        <w:t>A</w:t>
      </w:r>
      <w:r w:rsidR="00333B65" w:rsidRPr="00333B65">
        <w:rPr>
          <w:lang w:val="en-US"/>
        </w:rPr>
        <w:t>udit</w:t>
      </w:r>
      <w:r>
        <w:rPr>
          <w:lang w:val="en-US"/>
        </w:rPr>
        <w:t>s</w:t>
      </w:r>
      <w:r w:rsidR="00333B65" w:rsidRPr="00333B65">
        <w:rPr>
          <w:lang w:val="en-US"/>
        </w:rPr>
        <w:t xml:space="preserve"> will be conducted in accordance with </w:t>
      </w:r>
      <w:hyperlink r:id="rId11" w:history="1">
        <w:r w:rsidR="00333B65" w:rsidRPr="00333B65">
          <w:rPr>
            <w:rStyle w:val="af"/>
            <w:lang w:val="en-US"/>
          </w:rPr>
          <w:t>International Standards on Auditing</w:t>
        </w:r>
      </w:hyperlink>
      <w:r w:rsidR="00333B65" w:rsidRPr="00333B65">
        <w:rPr>
          <w:lang w:val="en-US"/>
        </w:rPr>
        <w:t>. Those Standards require that the auditor plans and performs the audit to obtain reasonable assurance about whether the financial statements are free of material misstatements.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w:t>
      </w:r>
    </w:p>
    <w:p w14:paraId="301A78D0" w14:textId="47EA6B25" w:rsidR="00DC1E45" w:rsidRPr="00333B65" w:rsidRDefault="00333B65" w:rsidP="00333B65">
      <w:pPr>
        <w:suppressAutoHyphens/>
        <w:spacing w:after="240" w:line="276" w:lineRule="auto"/>
        <w:jc w:val="both"/>
        <w:rPr>
          <w:rFonts w:eastAsiaTheme="minorHAnsi"/>
        </w:rPr>
      </w:pPr>
      <w:r w:rsidRPr="00333B65">
        <w:rPr>
          <w:bCs/>
          <w:lang w:val="en-US"/>
        </w:rPr>
        <w:t>In complying with International Standards on Auditing, the auditor is expected to pay particular attention to the following matters, including special considerations for public sector entities:</w:t>
      </w:r>
    </w:p>
    <w:p w14:paraId="0395461E" w14:textId="77777777" w:rsidR="00333B65" w:rsidRPr="00333B65" w:rsidRDefault="00333B65" w:rsidP="00333B65">
      <w:pPr>
        <w:numPr>
          <w:ilvl w:val="0"/>
          <w:numId w:val="8"/>
        </w:numPr>
        <w:tabs>
          <w:tab w:val="clear" w:pos="720"/>
        </w:tabs>
        <w:suppressAutoHyphens/>
        <w:spacing w:after="240" w:line="276" w:lineRule="auto"/>
        <w:ind w:left="993" w:hanging="633"/>
        <w:jc w:val="both"/>
        <w:rPr>
          <w:rFonts w:eastAsiaTheme="minorHAnsi"/>
          <w:bCs/>
          <w:lang w:val="en-US"/>
        </w:rPr>
      </w:pPr>
      <w:r w:rsidRPr="00333B65">
        <w:rPr>
          <w:rFonts w:eastAsiaTheme="minorHAnsi"/>
          <w:bCs/>
          <w:lang w:val="en-US"/>
        </w:rPr>
        <w:t>In planning and performing the audit to reduce audit risk to an acceptably low level, the auditor should consider the risks of material misstatements in the financial statements due to fraud, as required by International Standard on Auditing 240.</w:t>
      </w:r>
      <w:r w:rsidRPr="00333B65">
        <w:rPr>
          <w:rFonts w:eastAsiaTheme="minorHAnsi"/>
          <w:lang w:val="en-US"/>
        </w:rPr>
        <w:t xml:space="preserve"> </w:t>
      </w:r>
    </w:p>
    <w:p w14:paraId="10AF9D9B" w14:textId="77777777" w:rsidR="00333B65" w:rsidRPr="00333B65" w:rsidRDefault="00333B65" w:rsidP="00333B65">
      <w:pPr>
        <w:numPr>
          <w:ilvl w:val="0"/>
          <w:numId w:val="8"/>
        </w:numPr>
        <w:tabs>
          <w:tab w:val="clear" w:pos="720"/>
        </w:tabs>
        <w:suppressAutoHyphens/>
        <w:spacing w:after="240" w:line="276" w:lineRule="auto"/>
        <w:ind w:left="993" w:hanging="633"/>
        <w:jc w:val="both"/>
        <w:rPr>
          <w:rFonts w:eastAsiaTheme="minorHAnsi"/>
          <w:lang w:val="en-US"/>
        </w:rPr>
      </w:pPr>
      <w:r w:rsidRPr="00333B65">
        <w:rPr>
          <w:rFonts w:eastAsiaTheme="minorHAnsi"/>
          <w:bCs/>
          <w:lang w:val="en-US"/>
        </w:rPr>
        <w:t>When designing and performing audit procedures and in evaluating and reporting the results thereof, the auditor should recognize that noncompliance by the entity with laws and regulations may materially affect the financial statements, as required by International Standard on Auditing 250.</w:t>
      </w:r>
    </w:p>
    <w:p w14:paraId="3C3DF955" w14:textId="77777777" w:rsidR="00333B65" w:rsidRPr="00333B65" w:rsidRDefault="00333B65" w:rsidP="00333B65">
      <w:pPr>
        <w:numPr>
          <w:ilvl w:val="0"/>
          <w:numId w:val="8"/>
        </w:numPr>
        <w:tabs>
          <w:tab w:val="clear" w:pos="720"/>
        </w:tabs>
        <w:suppressAutoHyphens/>
        <w:spacing w:after="240" w:line="276" w:lineRule="auto"/>
        <w:ind w:left="993" w:hanging="633"/>
        <w:jc w:val="both"/>
        <w:rPr>
          <w:rFonts w:eastAsiaTheme="minorHAnsi"/>
          <w:lang w:val="en-US"/>
        </w:rPr>
      </w:pPr>
      <w:r w:rsidRPr="00333B65">
        <w:rPr>
          <w:rFonts w:eastAsiaTheme="minorHAnsi"/>
          <w:lang w:val="en-US"/>
        </w:rPr>
        <w:t xml:space="preserve">The auditor should communicate audit matters of governance interest arising from </w:t>
      </w:r>
      <w:r w:rsidRPr="00333B65">
        <w:rPr>
          <w:rFonts w:eastAsiaTheme="minorHAnsi"/>
          <w:bCs/>
          <w:lang w:val="en-US"/>
        </w:rPr>
        <w:t>the</w:t>
      </w:r>
      <w:r w:rsidRPr="00333B65">
        <w:rPr>
          <w:rFonts w:eastAsiaTheme="minorHAnsi"/>
          <w:lang w:val="en-US"/>
        </w:rPr>
        <w:t xml:space="preserve"> audit of financial statements to those charged with governance of an entity, as required by International Standard on Auditing 260.</w:t>
      </w:r>
    </w:p>
    <w:p w14:paraId="30930A4C" w14:textId="77777777" w:rsidR="00333B65" w:rsidRPr="00333B65" w:rsidRDefault="00333B65" w:rsidP="00333B65">
      <w:pPr>
        <w:numPr>
          <w:ilvl w:val="0"/>
          <w:numId w:val="8"/>
        </w:numPr>
        <w:tabs>
          <w:tab w:val="clear" w:pos="720"/>
        </w:tabs>
        <w:suppressAutoHyphens/>
        <w:spacing w:after="240" w:line="276" w:lineRule="auto"/>
        <w:ind w:left="993" w:hanging="633"/>
        <w:jc w:val="both"/>
        <w:rPr>
          <w:rFonts w:eastAsiaTheme="minorHAnsi"/>
          <w:bCs/>
          <w:lang w:val="en-US"/>
        </w:rPr>
      </w:pPr>
      <w:r w:rsidRPr="00333B65">
        <w:rPr>
          <w:rFonts w:eastAsiaTheme="minorHAnsi"/>
          <w:lang w:val="en-US"/>
        </w:rPr>
        <w:lastRenderedPageBreak/>
        <w:t>The auditor should appropriately communicate to those charged with governance and to management any deficiencies in internal control that the auditor has identified in an audit of financial statements, as required by International Standard on Auditing 265.</w:t>
      </w:r>
    </w:p>
    <w:p w14:paraId="13FEC5FA" w14:textId="77777777" w:rsidR="00333B65" w:rsidRPr="00333B65" w:rsidRDefault="00333B65" w:rsidP="00333B65">
      <w:pPr>
        <w:numPr>
          <w:ilvl w:val="0"/>
          <w:numId w:val="8"/>
        </w:numPr>
        <w:tabs>
          <w:tab w:val="clear" w:pos="720"/>
        </w:tabs>
        <w:suppressAutoHyphens/>
        <w:spacing w:after="240" w:line="276" w:lineRule="auto"/>
        <w:ind w:left="993" w:hanging="633"/>
        <w:jc w:val="both"/>
        <w:rPr>
          <w:rFonts w:eastAsiaTheme="minorHAnsi"/>
          <w:bCs/>
          <w:lang w:val="en-US"/>
        </w:rPr>
      </w:pPr>
      <w:r w:rsidRPr="00333B65">
        <w:rPr>
          <w:rFonts w:eastAsiaTheme="minorHAnsi"/>
          <w:bCs/>
          <w:lang w:val="en-US"/>
        </w:rPr>
        <w:t>To reduce audit risk to an acceptably low level, the auditor should determine overall responses to assessed risks at the financial statement level, and should design and perform further audit procedures to respond to assessed risks at the assertion level, as required by International Standard on Auditing 330.</w:t>
      </w:r>
    </w:p>
    <w:p w14:paraId="2FFDBC6C" w14:textId="77777777" w:rsidR="00333B65" w:rsidRPr="00333B65" w:rsidRDefault="00333B65" w:rsidP="00333B65">
      <w:pPr>
        <w:numPr>
          <w:ilvl w:val="0"/>
          <w:numId w:val="8"/>
        </w:numPr>
        <w:tabs>
          <w:tab w:val="clear" w:pos="720"/>
        </w:tabs>
        <w:suppressAutoHyphens/>
        <w:spacing w:after="240" w:line="276" w:lineRule="auto"/>
        <w:ind w:left="993" w:hanging="633"/>
        <w:jc w:val="both"/>
        <w:rPr>
          <w:rFonts w:eastAsiaTheme="minorHAnsi"/>
          <w:bCs/>
          <w:lang w:val="en-US"/>
        </w:rPr>
      </w:pPr>
      <w:r w:rsidRPr="00333B65">
        <w:rPr>
          <w:rFonts w:eastAsiaTheme="minorHAnsi"/>
          <w:bCs/>
          <w:lang w:val="en-US"/>
        </w:rPr>
        <w:t>When certain aspects of an entity’s operations are performed by a third-party service provider, the auditor is expected to include an understanding and assessment of the internal control environment of the service provider during the audit process, as required by International Standard on Auditing 402.</w:t>
      </w:r>
    </w:p>
    <w:p w14:paraId="34324258" w14:textId="77777777" w:rsidR="00333B65" w:rsidRPr="00333B65" w:rsidRDefault="00333B65" w:rsidP="00333B65">
      <w:pPr>
        <w:numPr>
          <w:ilvl w:val="0"/>
          <w:numId w:val="8"/>
        </w:numPr>
        <w:tabs>
          <w:tab w:val="clear" w:pos="720"/>
        </w:tabs>
        <w:suppressAutoHyphens/>
        <w:spacing w:after="240" w:line="276" w:lineRule="auto"/>
        <w:ind w:left="993" w:hanging="633"/>
        <w:jc w:val="both"/>
        <w:rPr>
          <w:rFonts w:eastAsiaTheme="minorHAnsi"/>
          <w:bCs/>
          <w:lang w:val="en-US"/>
        </w:rPr>
      </w:pPr>
      <w:r w:rsidRPr="00333B65">
        <w:rPr>
          <w:rFonts w:eastAsiaTheme="minorHAnsi"/>
          <w:bCs/>
          <w:lang w:val="en-US"/>
        </w:rPr>
        <w:t xml:space="preserve">As part of the audit process, the auditor is expected to obtain written representations from management and, where appropriate, those charged with governance, as required by International Standard on Auditing 580.  </w:t>
      </w:r>
    </w:p>
    <w:p w14:paraId="0727EBE9" w14:textId="77777777" w:rsidR="00333B65" w:rsidRPr="00333B65" w:rsidRDefault="00333B65" w:rsidP="00333B65">
      <w:pPr>
        <w:numPr>
          <w:ilvl w:val="0"/>
          <w:numId w:val="8"/>
        </w:numPr>
        <w:tabs>
          <w:tab w:val="clear" w:pos="720"/>
        </w:tabs>
        <w:suppressAutoHyphens/>
        <w:spacing w:after="240" w:line="276" w:lineRule="auto"/>
        <w:ind w:left="993" w:hanging="633"/>
        <w:jc w:val="both"/>
        <w:rPr>
          <w:rFonts w:eastAsiaTheme="minorHAnsi"/>
          <w:bCs/>
          <w:lang w:val="en-US"/>
        </w:rPr>
      </w:pPr>
      <w:r w:rsidRPr="00333B65">
        <w:rPr>
          <w:rFonts w:eastAsiaTheme="minorHAnsi"/>
          <w:bCs/>
          <w:lang w:val="en-US"/>
        </w:rPr>
        <w:t xml:space="preserve">When the external auditor decides to use the work of an entity’s internal audit function to modify the nature or timing, or reduce the extent, of audit procedures to be performed directly by the external auditor, the determination shall be in accordance with International Standard on Auditing 610.   </w:t>
      </w:r>
    </w:p>
    <w:p w14:paraId="2191F721" w14:textId="77777777" w:rsidR="00333B65" w:rsidRPr="00333B65" w:rsidRDefault="00333B65" w:rsidP="00333B65">
      <w:pPr>
        <w:numPr>
          <w:ilvl w:val="0"/>
          <w:numId w:val="8"/>
        </w:numPr>
        <w:tabs>
          <w:tab w:val="clear" w:pos="720"/>
        </w:tabs>
        <w:suppressAutoHyphens/>
        <w:spacing w:after="240" w:line="276" w:lineRule="auto"/>
        <w:ind w:left="993" w:hanging="633"/>
        <w:jc w:val="both"/>
        <w:rPr>
          <w:rFonts w:eastAsiaTheme="minorHAnsi"/>
          <w:bCs/>
          <w:lang w:val="en-US"/>
        </w:rPr>
      </w:pPr>
      <w:r w:rsidRPr="00333B65">
        <w:rPr>
          <w:rFonts w:eastAsiaTheme="minorHAnsi"/>
          <w:bCs/>
          <w:lang w:val="en-US"/>
        </w:rPr>
        <w:t xml:space="preserve">In determining whether to use the work of an auditor’s expert or the extent to which the work of an auditor’s expert is adequate for audit purposes, the determination shall be made in accordance with International Standard on Auditing 620.  </w:t>
      </w:r>
    </w:p>
    <w:p w14:paraId="77C26A47" w14:textId="77777777" w:rsidR="00333B65" w:rsidRPr="00333B65" w:rsidRDefault="00333B65" w:rsidP="00333B65">
      <w:pPr>
        <w:suppressAutoHyphens/>
        <w:spacing w:after="240" w:line="276" w:lineRule="auto"/>
        <w:jc w:val="both"/>
        <w:rPr>
          <w:rFonts w:eastAsiaTheme="minorHAnsi"/>
          <w:lang w:val="en-US"/>
        </w:rPr>
      </w:pPr>
      <w:r w:rsidRPr="00333B65">
        <w:rPr>
          <w:rFonts w:eastAsiaTheme="minorHAnsi"/>
          <w:lang w:val="en-US"/>
        </w:rPr>
        <w:t>In evidencing compliance with agreed project financing arrangements, the auditor is expected to carry out tests to confirm that:</w:t>
      </w:r>
    </w:p>
    <w:p w14:paraId="787415F5" w14:textId="05569079" w:rsidR="00333B65" w:rsidRPr="00333B65" w:rsidRDefault="00333B65" w:rsidP="00333B65">
      <w:pPr>
        <w:numPr>
          <w:ilvl w:val="0"/>
          <w:numId w:val="9"/>
        </w:numPr>
        <w:tabs>
          <w:tab w:val="clear" w:pos="1800"/>
        </w:tabs>
        <w:suppressAutoHyphens/>
        <w:spacing w:after="240" w:line="276" w:lineRule="auto"/>
        <w:ind w:left="851" w:hanging="425"/>
        <w:jc w:val="both"/>
        <w:rPr>
          <w:rFonts w:eastAsiaTheme="minorHAnsi"/>
          <w:lang w:val="en-US"/>
        </w:rPr>
      </w:pPr>
      <w:r w:rsidRPr="00333B65">
        <w:rPr>
          <w:rFonts w:eastAsiaTheme="minorHAnsi"/>
          <w:lang w:val="en-US"/>
        </w:rPr>
        <w:t xml:space="preserve">All external funds have been used in accordance with the conditions of the relevant financing agreements, with due attention to economy and efficiency, and only for the purposes for which the financing was provided. Relevant financing agreements include </w:t>
      </w:r>
      <w:r w:rsidR="00C1529A">
        <w:rPr>
          <w:rFonts w:eastAsiaTheme="minorHAnsi"/>
          <w:b/>
          <w:lang w:val="en-US"/>
        </w:rPr>
        <w:t>Credit</w:t>
      </w:r>
      <w:r w:rsidR="00C1529A" w:rsidRPr="00C1529A">
        <w:rPr>
          <w:rFonts w:eastAsiaTheme="minorHAnsi"/>
          <w:b/>
          <w:lang w:val="en-US"/>
        </w:rPr>
        <w:t xml:space="preserve"> IDA-71470-KG, </w:t>
      </w:r>
      <w:r w:rsidR="00C1529A">
        <w:rPr>
          <w:rFonts w:eastAsiaTheme="minorHAnsi"/>
          <w:b/>
          <w:lang w:val="en-US"/>
        </w:rPr>
        <w:t>Grant</w:t>
      </w:r>
      <w:r w:rsidR="00C1529A" w:rsidRPr="00C1529A">
        <w:rPr>
          <w:rFonts w:eastAsiaTheme="minorHAnsi"/>
          <w:b/>
          <w:lang w:val="en-US"/>
        </w:rPr>
        <w:t xml:space="preserve"> IDA-E0690-KG, </w:t>
      </w:r>
      <w:r w:rsidR="00C1529A">
        <w:rPr>
          <w:rFonts w:eastAsiaTheme="minorHAnsi"/>
          <w:b/>
          <w:lang w:val="en-US"/>
        </w:rPr>
        <w:t>Grant</w:t>
      </w:r>
      <w:r w:rsidR="00C1529A" w:rsidRPr="00C1529A">
        <w:rPr>
          <w:rFonts w:eastAsiaTheme="minorHAnsi"/>
          <w:b/>
          <w:lang w:val="en-US"/>
        </w:rPr>
        <w:t xml:space="preserve"> TF-B9767-KG; </w:t>
      </w:r>
      <w:r w:rsidR="00C1529A">
        <w:rPr>
          <w:rFonts w:eastAsiaTheme="minorHAnsi"/>
          <w:b/>
          <w:lang w:val="en-US"/>
        </w:rPr>
        <w:t>Credit</w:t>
      </w:r>
      <w:r w:rsidR="00C1529A" w:rsidRPr="00C1529A">
        <w:rPr>
          <w:rFonts w:eastAsiaTheme="minorHAnsi"/>
          <w:b/>
          <w:lang w:val="en-US"/>
        </w:rPr>
        <w:t xml:space="preserve"> IDA 73700-KG, </w:t>
      </w:r>
      <w:r w:rsidR="00C1529A">
        <w:rPr>
          <w:rFonts w:eastAsiaTheme="minorHAnsi"/>
          <w:b/>
          <w:lang w:val="en-US"/>
        </w:rPr>
        <w:t>Grant</w:t>
      </w:r>
      <w:r w:rsidR="00C1529A" w:rsidRPr="00C1529A">
        <w:rPr>
          <w:rFonts w:eastAsiaTheme="minorHAnsi"/>
          <w:b/>
          <w:lang w:val="en-US"/>
        </w:rPr>
        <w:t xml:space="preserve"> TF-C3790-KG, TF-C3809-KG; </w:t>
      </w:r>
      <w:r w:rsidR="00C1529A">
        <w:rPr>
          <w:rFonts w:eastAsiaTheme="minorHAnsi"/>
          <w:b/>
          <w:lang w:val="en-US"/>
        </w:rPr>
        <w:t>Credit</w:t>
      </w:r>
      <w:r w:rsidR="00C1529A" w:rsidRPr="00C1529A">
        <w:rPr>
          <w:rFonts w:eastAsiaTheme="minorHAnsi"/>
          <w:b/>
          <w:lang w:val="en-US"/>
        </w:rPr>
        <w:t xml:space="preserve"> IDA-74220-KG, </w:t>
      </w:r>
      <w:r w:rsidR="00C1529A">
        <w:rPr>
          <w:rFonts w:eastAsiaTheme="minorHAnsi"/>
          <w:b/>
          <w:lang w:val="en-US"/>
        </w:rPr>
        <w:t>Grant</w:t>
      </w:r>
      <w:r w:rsidR="00C1529A" w:rsidRPr="00C1529A">
        <w:rPr>
          <w:rFonts w:eastAsiaTheme="minorHAnsi"/>
          <w:b/>
          <w:lang w:val="en-US"/>
        </w:rPr>
        <w:t xml:space="preserve"> TF-C1818-KG, </w:t>
      </w:r>
      <w:r w:rsidR="00C1529A">
        <w:rPr>
          <w:rFonts w:eastAsiaTheme="minorHAnsi"/>
          <w:b/>
          <w:lang w:val="en-US"/>
        </w:rPr>
        <w:t>Credit</w:t>
      </w:r>
      <w:r w:rsidR="00C1529A" w:rsidRPr="00C1529A">
        <w:rPr>
          <w:rFonts w:eastAsiaTheme="minorHAnsi"/>
          <w:b/>
          <w:lang w:val="en-US"/>
        </w:rPr>
        <w:t xml:space="preserve"> IDA-76010-KG, </w:t>
      </w:r>
      <w:r w:rsidR="00C1529A">
        <w:rPr>
          <w:rFonts w:eastAsiaTheme="minorHAnsi"/>
          <w:b/>
          <w:lang w:val="en-US"/>
        </w:rPr>
        <w:t>Grant</w:t>
      </w:r>
      <w:r w:rsidR="00C1529A" w:rsidRPr="00C1529A">
        <w:rPr>
          <w:rFonts w:eastAsiaTheme="minorHAnsi"/>
          <w:b/>
          <w:lang w:val="en-US"/>
        </w:rPr>
        <w:t xml:space="preserve"> TF-C4773-KG</w:t>
      </w:r>
      <w:r w:rsidRPr="00333B65">
        <w:rPr>
          <w:rFonts w:eastAsiaTheme="minorHAnsi"/>
          <w:b/>
          <w:lang w:val="en-US"/>
        </w:rPr>
        <w:t>.</w:t>
      </w:r>
    </w:p>
    <w:p w14:paraId="187B5510" w14:textId="77777777" w:rsidR="00333B65" w:rsidRPr="00333B65" w:rsidRDefault="00333B65" w:rsidP="00333B65">
      <w:pPr>
        <w:numPr>
          <w:ilvl w:val="0"/>
          <w:numId w:val="9"/>
        </w:numPr>
        <w:tabs>
          <w:tab w:val="clear" w:pos="1800"/>
        </w:tabs>
        <w:suppressAutoHyphens/>
        <w:spacing w:after="240" w:line="276" w:lineRule="auto"/>
        <w:ind w:left="851" w:hanging="425"/>
        <w:jc w:val="both"/>
        <w:rPr>
          <w:rFonts w:eastAsiaTheme="minorHAnsi"/>
          <w:lang w:val="en-US"/>
        </w:rPr>
      </w:pPr>
      <w:r w:rsidRPr="00333B65">
        <w:rPr>
          <w:rFonts w:eastAsiaTheme="minorHAnsi"/>
          <w:lang w:val="en-US"/>
        </w:rPr>
        <w:t>Counterpart funds have been provided and used in accordance with the relevant financing agreements, with due attention to economy and efficiency, and only for the purposes for which they were provided.</w:t>
      </w:r>
    </w:p>
    <w:p w14:paraId="2C3A3EF5" w14:textId="77777777" w:rsidR="00333B65" w:rsidRDefault="00333B65" w:rsidP="00E42BC8">
      <w:pPr>
        <w:numPr>
          <w:ilvl w:val="0"/>
          <w:numId w:val="9"/>
        </w:numPr>
        <w:tabs>
          <w:tab w:val="clear" w:pos="1800"/>
        </w:tabs>
        <w:suppressAutoHyphens/>
        <w:spacing w:after="240" w:line="276" w:lineRule="auto"/>
        <w:ind w:left="851" w:hanging="425"/>
        <w:jc w:val="both"/>
        <w:rPr>
          <w:rFonts w:eastAsiaTheme="minorHAnsi"/>
        </w:rPr>
      </w:pPr>
      <w:r w:rsidRPr="00333B65">
        <w:rPr>
          <w:rFonts w:eastAsiaTheme="minorHAnsi"/>
          <w:lang w:val="en-US"/>
        </w:rPr>
        <w:t>Goods, works, and services financed have been procured in accordance with relevant financing agreements,</w:t>
      </w:r>
      <w:r w:rsidRPr="00333B65">
        <w:rPr>
          <w:rFonts w:eastAsiaTheme="minorHAnsi"/>
          <w:vertAlign w:val="superscript"/>
          <w:lang w:val="en-US"/>
        </w:rPr>
        <w:footnoteReference w:id="1"/>
      </w:r>
      <w:r w:rsidRPr="00333B65">
        <w:rPr>
          <w:rFonts w:eastAsiaTheme="minorHAnsi"/>
          <w:lang w:val="en-US"/>
        </w:rPr>
        <w:t xml:space="preserve"> including specific provisions of the </w:t>
      </w:r>
      <w:hyperlink r:id="rId12" w:history="1">
        <w:r w:rsidRPr="00333B65">
          <w:rPr>
            <w:rStyle w:val="af"/>
            <w:rFonts w:eastAsiaTheme="minorHAnsi"/>
            <w:lang w:val="en-US"/>
          </w:rPr>
          <w:t>World Bank Procurement Framework or PPL.</w:t>
        </w:r>
      </w:hyperlink>
    </w:p>
    <w:p w14:paraId="413A2F81" w14:textId="0ECEBD20" w:rsidR="00A3679B" w:rsidRPr="00333B65" w:rsidRDefault="00333B65" w:rsidP="00E42BC8">
      <w:pPr>
        <w:numPr>
          <w:ilvl w:val="0"/>
          <w:numId w:val="9"/>
        </w:numPr>
        <w:tabs>
          <w:tab w:val="clear" w:pos="1800"/>
        </w:tabs>
        <w:suppressAutoHyphens/>
        <w:spacing w:after="240" w:line="276" w:lineRule="auto"/>
        <w:ind w:left="851" w:hanging="425"/>
        <w:jc w:val="both"/>
        <w:rPr>
          <w:rFonts w:eastAsiaTheme="minorHAnsi"/>
        </w:rPr>
      </w:pPr>
      <w:r w:rsidRPr="00333B65">
        <w:rPr>
          <w:rFonts w:eastAsiaTheme="minorHAnsi"/>
          <w:lang w:val="en-US"/>
        </w:rPr>
        <w:lastRenderedPageBreak/>
        <w:t>All necessary supporting documents, records, and accounts have been maintained in respect of all project activities, including expenditures reported using Statements of Expenditure (SOE) or Interim Unaudited Financial Statements (IFS) methods of reporting. The auditor is expected to verify that respective reports issued during the period were in agreement with the underlying books of account.</w:t>
      </w:r>
    </w:p>
    <w:p w14:paraId="7053E99C" w14:textId="4C017624" w:rsidR="00333B65" w:rsidRDefault="00333B65" w:rsidP="00333B65">
      <w:pPr>
        <w:suppressAutoHyphens/>
        <w:spacing w:after="240" w:line="276" w:lineRule="auto"/>
        <w:jc w:val="both"/>
        <w:rPr>
          <w:rFonts w:eastAsiaTheme="minorHAnsi"/>
        </w:rPr>
      </w:pPr>
      <w:r w:rsidRPr="00333B65">
        <w:rPr>
          <w:rFonts w:eastAsiaTheme="minorHAnsi"/>
        </w:rPr>
        <w:t>In confirmation of compliance with the procurement rules and procedures of the World Bank Procurement Regulations for IPF Borrowers (</w:t>
      </w:r>
      <w:r w:rsidR="00C1529A">
        <w:rPr>
          <w:rFonts w:eastAsiaTheme="minorHAnsi"/>
        </w:rPr>
        <w:t>November</w:t>
      </w:r>
      <w:r w:rsidRPr="00333B65">
        <w:rPr>
          <w:rFonts w:eastAsiaTheme="minorHAnsi"/>
        </w:rPr>
        <w:t xml:space="preserve"> 20</w:t>
      </w:r>
      <w:r w:rsidR="00C1529A">
        <w:rPr>
          <w:rFonts w:eastAsiaTheme="minorHAnsi"/>
        </w:rPr>
        <w:t>20</w:t>
      </w:r>
      <w:r w:rsidRPr="00333B65">
        <w:rPr>
          <w:rFonts w:eastAsiaTheme="minorHAnsi"/>
        </w:rPr>
        <w:t>), revised (</w:t>
      </w:r>
      <w:r w:rsidR="00C1529A">
        <w:rPr>
          <w:rFonts w:eastAsiaTheme="minorHAnsi"/>
        </w:rPr>
        <w:t>September</w:t>
      </w:r>
      <w:r w:rsidRPr="00333B65">
        <w:rPr>
          <w:rFonts w:eastAsiaTheme="minorHAnsi"/>
        </w:rPr>
        <w:t xml:space="preserve"> 20</w:t>
      </w:r>
      <w:r w:rsidR="00C1529A">
        <w:rPr>
          <w:rFonts w:eastAsiaTheme="minorHAnsi"/>
        </w:rPr>
        <w:t>23</w:t>
      </w:r>
      <w:r w:rsidRPr="00333B65">
        <w:rPr>
          <w:rFonts w:eastAsiaTheme="minorHAnsi"/>
        </w:rPr>
        <w:t>) or, where applicable, the Law on Public Procurement of the Kyrgyz Republic, the auditor will check the correctness of the execution of bidding procedures under project and confirm that:</w:t>
      </w:r>
    </w:p>
    <w:p w14:paraId="2AF0FE9B" w14:textId="77777777" w:rsidR="00333B65" w:rsidRPr="00333B65" w:rsidRDefault="00333B65" w:rsidP="00333B65">
      <w:pPr>
        <w:numPr>
          <w:ilvl w:val="0"/>
          <w:numId w:val="10"/>
        </w:numPr>
        <w:suppressAutoHyphens/>
        <w:spacing w:after="240" w:line="276" w:lineRule="auto"/>
        <w:jc w:val="both"/>
        <w:rPr>
          <w:rFonts w:eastAsiaTheme="minorHAnsi"/>
          <w:lang w:val="en-US"/>
        </w:rPr>
      </w:pPr>
      <w:r w:rsidRPr="00333B65">
        <w:rPr>
          <w:rFonts w:eastAsiaTheme="minorHAnsi"/>
          <w:lang w:val="en-US"/>
        </w:rPr>
        <w:t>Bidding processes were carried out in accordance with the Procurement Plan approved by the WB;</w:t>
      </w:r>
    </w:p>
    <w:p w14:paraId="7A6455E0" w14:textId="77777777" w:rsidR="00333B65" w:rsidRDefault="00333B65" w:rsidP="00333B65">
      <w:pPr>
        <w:numPr>
          <w:ilvl w:val="0"/>
          <w:numId w:val="10"/>
        </w:numPr>
        <w:suppressAutoHyphens/>
        <w:spacing w:after="240" w:line="276" w:lineRule="auto"/>
        <w:jc w:val="both"/>
        <w:rPr>
          <w:rFonts w:eastAsiaTheme="minorHAnsi"/>
          <w:lang w:val="en-US"/>
        </w:rPr>
      </w:pPr>
      <w:r w:rsidRPr="00333B65">
        <w:rPr>
          <w:rFonts w:eastAsiaTheme="minorHAnsi"/>
          <w:lang w:val="en-US"/>
        </w:rPr>
        <w:t>Bidding processes within the project were carried out in accordance with the World Bank Procurement Regulations or the Public Procurement of the Kyrgyz Republic, and the Project Operational Guidelines;</w:t>
      </w:r>
    </w:p>
    <w:p w14:paraId="2F206128" w14:textId="294E2853" w:rsidR="00C1529A" w:rsidRPr="00C1529A" w:rsidRDefault="00C1529A" w:rsidP="00333B65">
      <w:pPr>
        <w:numPr>
          <w:ilvl w:val="0"/>
          <w:numId w:val="10"/>
        </w:numPr>
        <w:suppressAutoHyphens/>
        <w:spacing w:after="240" w:line="276" w:lineRule="auto"/>
        <w:jc w:val="both"/>
        <w:rPr>
          <w:rFonts w:eastAsiaTheme="minorHAnsi"/>
          <w:lang w:val="en-US"/>
        </w:rPr>
      </w:pPr>
      <w:r w:rsidRPr="00C1529A">
        <w:rPr>
          <w:rFonts w:eastAsiaTheme="minorHAnsi"/>
          <w:lang w:val="en-US"/>
        </w:rPr>
        <w:t>All procurement documentation is entered i</w:t>
      </w:r>
      <w:r>
        <w:rPr>
          <w:rFonts w:eastAsiaTheme="minorHAnsi"/>
          <w:lang w:val="en-US"/>
        </w:rPr>
        <w:t>nto STEP system, excluding Operational expenses of PMOs</w:t>
      </w:r>
    </w:p>
    <w:p w14:paraId="763F5CD8" w14:textId="77777777" w:rsidR="00333B65" w:rsidRPr="00333B65" w:rsidRDefault="00333B65" w:rsidP="00333B65">
      <w:pPr>
        <w:numPr>
          <w:ilvl w:val="0"/>
          <w:numId w:val="10"/>
        </w:numPr>
        <w:suppressAutoHyphens/>
        <w:spacing w:after="240" w:line="276" w:lineRule="auto"/>
        <w:jc w:val="both"/>
        <w:rPr>
          <w:rFonts w:eastAsiaTheme="minorHAnsi"/>
          <w:lang w:val="en-US"/>
        </w:rPr>
      </w:pPr>
      <w:r w:rsidRPr="00333B65">
        <w:rPr>
          <w:rFonts w:eastAsiaTheme="minorHAnsi"/>
          <w:lang w:val="en-US"/>
        </w:rPr>
        <w:t xml:space="preserve">National competitive bidding was held in accordance with the Law on Public Procurement of the Kyrgyz Republic, using government procurement portal of the Kyrgyz Republic - </w:t>
      </w:r>
      <w:hyperlink r:id="rId13" w:history="1">
        <w:r w:rsidRPr="00333B65">
          <w:rPr>
            <w:rStyle w:val="af"/>
            <w:rFonts w:eastAsiaTheme="minorHAnsi"/>
            <w:lang w:val="en-US"/>
          </w:rPr>
          <w:t>https://zakupki.gov.kg/</w:t>
        </w:r>
      </w:hyperlink>
      <w:r w:rsidRPr="00333B65">
        <w:rPr>
          <w:rFonts w:eastAsiaTheme="minorHAnsi"/>
          <w:lang w:val="en-US"/>
        </w:rPr>
        <w:t>;</w:t>
      </w:r>
    </w:p>
    <w:p w14:paraId="77D9CF04" w14:textId="695AA690" w:rsidR="00333B65" w:rsidRPr="00333B65" w:rsidRDefault="00333B65" w:rsidP="00333B65">
      <w:pPr>
        <w:numPr>
          <w:ilvl w:val="0"/>
          <w:numId w:val="10"/>
        </w:numPr>
        <w:suppressAutoHyphens/>
        <w:spacing w:after="240" w:line="276" w:lineRule="auto"/>
        <w:jc w:val="both"/>
        <w:rPr>
          <w:rFonts w:eastAsiaTheme="minorHAnsi"/>
          <w:lang w:val="en-US"/>
        </w:rPr>
      </w:pPr>
      <w:r w:rsidRPr="00333B65">
        <w:rPr>
          <w:rFonts w:eastAsiaTheme="minorHAnsi"/>
          <w:lang w:val="en-US"/>
        </w:rPr>
        <w:t>files are properly prepared and archived for all biddings held in hard and soft version;</w:t>
      </w:r>
    </w:p>
    <w:p w14:paraId="79E7B2BA" w14:textId="77777777" w:rsidR="00333B65" w:rsidRPr="00333B65" w:rsidRDefault="00333B65" w:rsidP="00333B65">
      <w:pPr>
        <w:numPr>
          <w:ilvl w:val="0"/>
          <w:numId w:val="10"/>
        </w:numPr>
        <w:suppressAutoHyphens/>
        <w:spacing w:after="240" w:line="276" w:lineRule="auto"/>
        <w:jc w:val="both"/>
        <w:rPr>
          <w:rFonts w:eastAsiaTheme="minorHAnsi"/>
          <w:lang w:val="en-US"/>
        </w:rPr>
      </w:pPr>
      <w:r w:rsidRPr="00333B65">
        <w:rPr>
          <w:rFonts w:eastAsiaTheme="minorHAnsi"/>
          <w:lang w:val="en-US"/>
        </w:rPr>
        <w:t>properly prepared all reports and minutes of bidding process;</w:t>
      </w:r>
    </w:p>
    <w:p w14:paraId="48C08786" w14:textId="77777777" w:rsidR="00333B65" w:rsidRPr="00333B65" w:rsidRDefault="00333B65" w:rsidP="00333B65">
      <w:pPr>
        <w:numPr>
          <w:ilvl w:val="0"/>
          <w:numId w:val="10"/>
        </w:numPr>
        <w:suppressAutoHyphens/>
        <w:spacing w:after="240" w:line="276" w:lineRule="auto"/>
        <w:jc w:val="both"/>
        <w:rPr>
          <w:rFonts w:eastAsiaTheme="minorHAnsi"/>
          <w:lang w:val="en-US"/>
        </w:rPr>
      </w:pPr>
      <w:r w:rsidRPr="00333B65">
        <w:rPr>
          <w:rFonts w:eastAsiaTheme="minorHAnsi"/>
          <w:lang w:val="en-US"/>
        </w:rPr>
        <w:t>complaints from bidders are reviewed and responded in accordance with the rules and procedures of the World Bank and the Project Operational Guidelines, as well as in accordance with the Law on Public Procurement of the Kyrgyz Republic (for procurement packages following local market approach);</w:t>
      </w:r>
    </w:p>
    <w:p w14:paraId="1D1C068F" w14:textId="55B4C42B" w:rsidR="00333B65" w:rsidRPr="00333B65" w:rsidRDefault="00333B65" w:rsidP="00333B65">
      <w:pPr>
        <w:numPr>
          <w:ilvl w:val="0"/>
          <w:numId w:val="10"/>
        </w:numPr>
        <w:suppressAutoHyphens/>
        <w:spacing w:after="240" w:line="276" w:lineRule="auto"/>
        <w:jc w:val="both"/>
        <w:rPr>
          <w:rFonts w:eastAsiaTheme="minorHAnsi"/>
          <w:lang w:val="en-US"/>
        </w:rPr>
      </w:pPr>
      <w:r w:rsidRPr="00333B65">
        <w:rPr>
          <w:rFonts w:eastAsiaTheme="minorHAnsi"/>
          <w:lang w:val="en-US"/>
        </w:rPr>
        <w:t>announcements for bidding were published in the local media, UNDB (</w:t>
      </w:r>
      <w:proofErr w:type="gramStart"/>
      <w:r w:rsidRPr="00333B65">
        <w:rPr>
          <w:rFonts w:eastAsiaTheme="minorHAnsi"/>
          <w:lang w:val="en-US"/>
        </w:rPr>
        <w:t>through  STEP</w:t>
      </w:r>
      <w:proofErr w:type="gramEnd"/>
      <w:r w:rsidRPr="00333B65">
        <w:rPr>
          <w:rFonts w:eastAsiaTheme="minorHAnsi"/>
          <w:lang w:val="en-US"/>
        </w:rPr>
        <w:t xml:space="preserve">), portal </w:t>
      </w:r>
      <w:hyperlink r:id="rId14" w:history="1">
        <w:r w:rsidRPr="00333B65">
          <w:rPr>
            <w:rStyle w:val="af"/>
            <w:rFonts w:eastAsiaTheme="minorHAnsi"/>
            <w:lang w:val="en-US"/>
          </w:rPr>
          <w:t>https://zakupki.gov.kg/</w:t>
        </w:r>
      </w:hyperlink>
      <w:r w:rsidRPr="00333B65">
        <w:rPr>
          <w:rFonts w:eastAsiaTheme="minorHAnsi"/>
          <w:lang w:val="en-US"/>
        </w:rPr>
        <w:t xml:space="preserve"> or on the website of the executing agencies;</w:t>
      </w:r>
    </w:p>
    <w:p w14:paraId="57345E7C" w14:textId="77777777" w:rsidR="00333B65" w:rsidRPr="00333B65" w:rsidRDefault="00333B65" w:rsidP="00333B65">
      <w:pPr>
        <w:numPr>
          <w:ilvl w:val="0"/>
          <w:numId w:val="10"/>
        </w:numPr>
        <w:suppressAutoHyphens/>
        <w:spacing w:after="240" w:line="276" w:lineRule="auto"/>
        <w:jc w:val="both"/>
        <w:rPr>
          <w:rFonts w:eastAsiaTheme="minorHAnsi"/>
          <w:lang w:val="en-US"/>
        </w:rPr>
      </w:pPr>
      <w:r w:rsidRPr="00333B65">
        <w:rPr>
          <w:rFonts w:eastAsiaTheme="minorHAnsi"/>
          <w:lang w:val="en-US"/>
        </w:rPr>
        <w:t>the anti-corruption policy of the World Bank was conformed and violations regarding corruption were not revealed;</w:t>
      </w:r>
    </w:p>
    <w:p w14:paraId="0F19A047" w14:textId="7C1AC03F" w:rsidR="00333B65" w:rsidRPr="00333B65" w:rsidRDefault="00333B65" w:rsidP="00333B65">
      <w:pPr>
        <w:numPr>
          <w:ilvl w:val="0"/>
          <w:numId w:val="10"/>
        </w:numPr>
        <w:suppressAutoHyphens/>
        <w:spacing w:after="240" w:line="276" w:lineRule="auto"/>
        <w:jc w:val="both"/>
        <w:rPr>
          <w:rFonts w:eastAsiaTheme="minorHAnsi"/>
          <w:lang w:val="en-US"/>
        </w:rPr>
      </w:pPr>
      <w:r w:rsidRPr="00333B65">
        <w:rPr>
          <w:rFonts w:eastAsiaTheme="minorHAnsi"/>
          <w:lang w:val="en-US"/>
        </w:rPr>
        <w:t>Consultations were held for members of the tender commissions on the correctness of evaluation of tender proposals and monitoring of the contract by P</w:t>
      </w:r>
      <w:r w:rsidR="00C1529A">
        <w:rPr>
          <w:rFonts w:eastAsiaTheme="minorHAnsi"/>
          <w:lang w:val="en-US"/>
        </w:rPr>
        <w:t>MOs</w:t>
      </w:r>
      <w:r w:rsidRPr="00333B65">
        <w:rPr>
          <w:rFonts w:eastAsiaTheme="minorHAnsi"/>
          <w:lang w:val="en-US"/>
        </w:rPr>
        <w:t xml:space="preserve">; </w:t>
      </w:r>
    </w:p>
    <w:p w14:paraId="6526867A" w14:textId="31F365FC" w:rsidR="00333B65" w:rsidRPr="00333B65" w:rsidRDefault="00333B65" w:rsidP="00333B65">
      <w:pPr>
        <w:numPr>
          <w:ilvl w:val="0"/>
          <w:numId w:val="10"/>
        </w:numPr>
        <w:suppressAutoHyphens/>
        <w:spacing w:after="240" w:line="276" w:lineRule="auto"/>
        <w:jc w:val="both"/>
        <w:rPr>
          <w:rFonts w:eastAsiaTheme="minorHAnsi"/>
          <w:lang w:val="en-US"/>
        </w:rPr>
      </w:pPr>
      <w:r w:rsidRPr="00333B65">
        <w:rPr>
          <w:rFonts w:eastAsiaTheme="minorHAnsi"/>
          <w:lang w:val="en-US"/>
        </w:rPr>
        <w:t xml:space="preserve">A thorough monitoring of contract was conducted from the side of </w:t>
      </w:r>
      <w:r w:rsidR="00C1529A">
        <w:rPr>
          <w:rFonts w:eastAsiaTheme="minorHAnsi"/>
          <w:lang w:val="en-US"/>
        </w:rPr>
        <w:t>PMOs</w:t>
      </w:r>
      <w:r w:rsidRPr="00333B65">
        <w:rPr>
          <w:rFonts w:eastAsiaTheme="minorHAnsi"/>
          <w:lang w:val="en-US"/>
        </w:rPr>
        <w:t xml:space="preserve"> and the contracts were executed properly; </w:t>
      </w:r>
    </w:p>
    <w:p w14:paraId="1201E97D" w14:textId="7A362D80" w:rsidR="00333B65" w:rsidRPr="00333B65" w:rsidRDefault="00333B65" w:rsidP="00333B65">
      <w:pPr>
        <w:numPr>
          <w:ilvl w:val="0"/>
          <w:numId w:val="10"/>
        </w:numPr>
        <w:suppressAutoHyphens/>
        <w:spacing w:after="240" w:line="276" w:lineRule="auto"/>
        <w:jc w:val="both"/>
        <w:rPr>
          <w:rFonts w:eastAsiaTheme="minorHAnsi"/>
          <w:lang w:val="en-US"/>
        </w:rPr>
      </w:pPr>
      <w:r w:rsidRPr="00333B65">
        <w:rPr>
          <w:rFonts w:eastAsiaTheme="minorHAnsi"/>
          <w:lang w:val="en-US"/>
        </w:rPr>
        <w:lastRenderedPageBreak/>
        <w:t xml:space="preserve">All necessary documents following the completion of the contract are signed and properly stored in </w:t>
      </w:r>
      <w:r w:rsidR="00C1529A">
        <w:rPr>
          <w:rFonts w:eastAsiaTheme="minorHAnsi"/>
          <w:lang w:val="en-US"/>
        </w:rPr>
        <w:t>PMOs</w:t>
      </w:r>
      <w:r w:rsidRPr="00333B65">
        <w:rPr>
          <w:rFonts w:eastAsiaTheme="minorHAnsi"/>
          <w:lang w:val="en-US"/>
        </w:rPr>
        <w:t>;</w:t>
      </w:r>
    </w:p>
    <w:p w14:paraId="455EE778" w14:textId="5B57D727" w:rsidR="00333B65" w:rsidRPr="00447280" w:rsidRDefault="00DF26AC" w:rsidP="00DF26AC">
      <w:pPr>
        <w:keepNext/>
        <w:keepLines/>
        <w:spacing w:after="240" w:line="276" w:lineRule="auto"/>
        <w:ind w:firstLine="360"/>
        <w:jc w:val="both"/>
        <w:outlineLvl w:val="3"/>
        <w:rPr>
          <w:b/>
          <w:bCs/>
          <w:lang w:val="en-US"/>
        </w:rPr>
      </w:pPr>
      <w:r w:rsidRPr="00447280">
        <w:rPr>
          <w:b/>
          <w:bCs/>
          <w:lang w:val="en-US"/>
        </w:rPr>
        <w:t>Project financial statements</w:t>
      </w:r>
    </w:p>
    <w:p w14:paraId="31FF3703" w14:textId="4A8494FF" w:rsidR="00DF26AC" w:rsidRDefault="00DF26AC" w:rsidP="00333B65">
      <w:pPr>
        <w:suppressAutoHyphens/>
        <w:spacing w:after="240" w:line="276" w:lineRule="auto"/>
        <w:jc w:val="both"/>
        <w:rPr>
          <w:rFonts w:eastAsiaTheme="minorHAnsi"/>
          <w:lang w:val="en-US"/>
        </w:rPr>
      </w:pPr>
      <w:r w:rsidRPr="00DF26AC">
        <w:rPr>
          <w:rFonts w:eastAsiaTheme="minorHAnsi"/>
          <w:lang w:val="en-US"/>
        </w:rPr>
        <w:t xml:space="preserve">The auditor should verify that the financial statements have been prepared in accordance with </w:t>
      </w:r>
      <w:hyperlink r:id="rId15" w:history="1">
        <w:r w:rsidRPr="00DF26AC">
          <w:rPr>
            <w:rStyle w:val="af"/>
            <w:rFonts w:eastAsiaTheme="minorHAnsi"/>
            <w:lang w:val="en-US"/>
          </w:rPr>
          <w:t>International Public Sector Accounting Standards</w:t>
        </w:r>
      </w:hyperlink>
      <w:r w:rsidRPr="00DF26AC">
        <w:rPr>
          <w:rFonts w:eastAsiaTheme="minorHAnsi"/>
          <w:lang w:val="en-US"/>
        </w:rPr>
        <w:t>. The financial statements should include:</w:t>
      </w:r>
    </w:p>
    <w:p w14:paraId="608A9DB0" w14:textId="2E6B07E6" w:rsidR="00DF26AC" w:rsidRPr="00DF26AC" w:rsidRDefault="00DF26AC" w:rsidP="00DF26AC">
      <w:pPr>
        <w:numPr>
          <w:ilvl w:val="0"/>
          <w:numId w:val="11"/>
        </w:numPr>
        <w:suppressAutoHyphens/>
        <w:spacing w:after="240" w:line="276" w:lineRule="auto"/>
        <w:jc w:val="both"/>
        <w:rPr>
          <w:rFonts w:eastAsiaTheme="minorHAnsi"/>
          <w:i/>
          <w:lang w:val="en-US"/>
        </w:rPr>
      </w:pPr>
      <w:r w:rsidRPr="00DF26AC">
        <w:rPr>
          <w:rFonts w:eastAsiaTheme="minorHAnsi"/>
          <w:i/>
          <w:lang w:val="en-US"/>
        </w:rPr>
        <w:t xml:space="preserve">A summary of funds received from the World Bank, other </w:t>
      </w:r>
      <w:r w:rsidR="001C3667">
        <w:rPr>
          <w:rFonts w:eastAsiaTheme="minorHAnsi"/>
          <w:i/>
          <w:lang w:val="en-US"/>
        </w:rPr>
        <w:t>donor</w:t>
      </w:r>
      <w:r w:rsidRPr="00DF26AC">
        <w:rPr>
          <w:rFonts w:eastAsiaTheme="minorHAnsi"/>
          <w:i/>
          <w:lang w:val="en-US"/>
        </w:rPr>
        <w:t>s and counterpart contributions from the borrower, all presented separately;</w:t>
      </w:r>
    </w:p>
    <w:p w14:paraId="40D05223" w14:textId="77777777" w:rsidR="00DF26AC" w:rsidRPr="00DF26AC" w:rsidRDefault="00DF26AC" w:rsidP="00DF26AC">
      <w:pPr>
        <w:numPr>
          <w:ilvl w:val="0"/>
          <w:numId w:val="11"/>
        </w:numPr>
        <w:suppressAutoHyphens/>
        <w:spacing w:after="240" w:line="276" w:lineRule="auto"/>
        <w:jc w:val="both"/>
        <w:rPr>
          <w:rFonts w:eastAsiaTheme="minorHAnsi"/>
          <w:i/>
          <w:lang w:val="en-US"/>
        </w:rPr>
      </w:pPr>
      <w:r w:rsidRPr="00DF26AC">
        <w:rPr>
          <w:rFonts w:eastAsiaTheme="minorHAnsi"/>
          <w:i/>
          <w:lang w:val="en-US"/>
        </w:rPr>
        <w:t>A summary of expenditures paid, presented under project account headings and main categories of expenditures; and</w:t>
      </w:r>
    </w:p>
    <w:p w14:paraId="12EBE375" w14:textId="77777777" w:rsidR="00DF26AC" w:rsidRPr="00DF26AC" w:rsidRDefault="00DF26AC" w:rsidP="00DF26AC">
      <w:pPr>
        <w:numPr>
          <w:ilvl w:val="0"/>
          <w:numId w:val="11"/>
        </w:numPr>
        <w:suppressAutoHyphens/>
        <w:spacing w:after="240" w:line="276" w:lineRule="auto"/>
        <w:jc w:val="both"/>
        <w:rPr>
          <w:rFonts w:eastAsiaTheme="minorHAnsi"/>
          <w:i/>
          <w:lang w:val="en-US"/>
        </w:rPr>
      </w:pPr>
      <w:r w:rsidRPr="00DF26AC">
        <w:rPr>
          <w:rFonts w:eastAsiaTheme="minorHAnsi"/>
          <w:i/>
          <w:lang w:val="en-US"/>
        </w:rPr>
        <w:t xml:space="preserve">Additional disclosures in explanatory notes, including details of statements of expenditures (SOE) supporting Withdrawal Applications submitted during the period, a reconciliation of movements on the Designated Account, and a statement of fund balances].    </w:t>
      </w:r>
    </w:p>
    <w:p w14:paraId="1C5EBD40" w14:textId="1B095E03" w:rsidR="00DF26AC" w:rsidRPr="00447280" w:rsidRDefault="00DF26AC" w:rsidP="00DF26AC">
      <w:pPr>
        <w:keepNext/>
        <w:keepLines/>
        <w:spacing w:after="240" w:line="276" w:lineRule="auto"/>
        <w:ind w:firstLine="360"/>
        <w:jc w:val="both"/>
        <w:outlineLvl w:val="3"/>
        <w:rPr>
          <w:b/>
          <w:bCs/>
          <w:lang w:val="en-US"/>
        </w:rPr>
      </w:pPr>
      <w:r w:rsidRPr="00447280">
        <w:rPr>
          <w:b/>
          <w:bCs/>
          <w:lang w:val="en-US"/>
        </w:rPr>
        <w:t>Review of Statements of Expenditure</w:t>
      </w:r>
    </w:p>
    <w:p w14:paraId="7E370092" w14:textId="03C20E4B" w:rsidR="00DF26AC" w:rsidRDefault="00DF26AC" w:rsidP="00333B65">
      <w:pPr>
        <w:suppressAutoHyphens/>
        <w:spacing w:after="240" w:line="276" w:lineRule="auto"/>
        <w:jc w:val="both"/>
        <w:rPr>
          <w:rFonts w:eastAsiaTheme="minorHAnsi"/>
          <w:lang w:val="en-US"/>
        </w:rPr>
      </w:pPr>
      <w:r w:rsidRPr="00DF26AC">
        <w:rPr>
          <w:rFonts w:eastAsiaTheme="minorHAnsi"/>
          <w:lang w:val="en-US"/>
        </w:rPr>
        <w:t>The auditor is required to audit all SOE/ submitted to the World Bank in support of requests for periodic replenishment of the project designated account(s). Expenditures should be examined for eligibility based on criteria defined in the terms of the financing agreement and detailed in the Project Appraisal Document. The auditor should report any ineligible expenditures identified as having been included in withdrawal applications and reimbursed.</w:t>
      </w:r>
    </w:p>
    <w:p w14:paraId="60CAC99A" w14:textId="06A05328" w:rsidR="00DF26AC" w:rsidRPr="00DF26AC" w:rsidRDefault="00DF26AC" w:rsidP="00DF26AC">
      <w:pPr>
        <w:keepNext/>
        <w:keepLines/>
        <w:spacing w:after="240" w:line="276" w:lineRule="auto"/>
        <w:ind w:firstLine="360"/>
        <w:jc w:val="both"/>
        <w:outlineLvl w:val="3"/>
        <w:rPr>
          <w:b/>
          <w:bCs/>
          <w:lang w:val="en-US"/>
        </w:rPr>
      </w:pPr>
      <w:r w:rsidRPr="00DF26AC">
        <w:rPr>
          <w:b/>
          <w:bCs/>
          <w:lang w:val="en-US"/>
        </w:rPr>
        <w:t>Review of designated accounts</w:t>
      </w:r>
    </w:p>
    <w:p w14:paraId="7CE84DD0" w14:textId="26F84258" w:rsidR="00DF26AC" w:rsidRDefault="00DF26AC" w:rsidP="00333B65">
      <w:pPr>
        <w:suppressAutoHyphens/>
        <w:spacing w:after="240" w:line="276" w:lineRule="auto"/>
        <w:jc w:val="both"/>
        <w:rPr>
          <w:rFonts w:eastAsiaTheme="minorHAnsi"/>
          <w:lang w:val="en-US"/>
        </w:rPr>
      </w:pPr>
      <w:r w:rsidRPr="00DF26AC">
        <w:rPr>
          <w:rFonts w:eastAsiaTheme="minorHAnsi"/>
          <w:lang w:val="en-US"/>
        </w:rPr>
        <w:t>During the audit of the project financial statements, the auditor is required to review the activities of the projects</w:t>
      </w:r>
      <w:r w:rsidR="001C7338">
        <w:rPr>
          <w:rFonts w:eastAsiaTheme="minorHAnsi"/>
          <w:lang w:val="en-US"/>
        </w:rPr>
        <w:t>’</w:t>
      </w:r>
      <w:r w:rsidRPr="00DF26AC">
        <w:rPr>
          <w:rFonts w:eastAsiaTheme="minorHAnsi"/>
          <w:lang w:val="en-US"/>
        </w:rPr>
        <w:t xml:space="preserve"> designated accounts. Activities to be examined will include deposits received, payments made, interest earned, and reconciliation of period-end balances.</w:t>
      </w:r>
    </w:p>
    <w:p w14:paraId="61AF4550" w14:textId="3DEA1103" w:rsidR="00DF26AC" w:rsidRPr="00782A8E" w:rsidRDefault="00DF26AC" w:rsidP="00DF26AC">
      <w:pPr>
        <w:pStyle w:val="a4"/>
        <w:numPr>
          <w:ilvl w:val="0"/>
          <w:numId w:val="1"/>
        </w:numPr>
        <w:suppressAutoHyphens/>
        <w:spacing w:after="240" w:line="276" w:lineRule="auto"/>
        <w:contextualSpacing w:val="0"/>
        <w:jc w:val="both"/>
        <w:rPr>
          <w:b/>
          <w:sz w:val="24"/>
          <w:szCs w:val="24"/>
        </w:rPr>
      </w:pPr>
      <w:r w:rsidRPr="00DF26AC">
        <w:rPr>
          <w:b/>
          <w:sz w:val="24"/>
          <w:szCs w:val="24"/>
        </w:rPr>
        <w:t>Audit Reports</w:t>
      </w:r>
    </w:p>
    <w:p w14:paraId="1C02FF6E" w14:textId="4FB8BA8D" w:rsidR="00DF26AC" w:rsidRPr="00DF26AC" w:rsidRDefault="00DF26AC" w:rsidP="00DF26AC">
      <w:pPr>
        <w:keepNext/>
        <w:keepLines/>
        <w:spacing w:after="240" w:line="276" w:lineRule="auto"/>
        <w:ind w:firstLine="360"/>
        <w:jc w:val="both"/>
        <w:outlineLvl w:val="3"/>
        <w:rPr>
          <w:b/>
          <w:bCs/>
          <w:lang w:val="en-US"/>
        </w:rPr>
      </w:pPr>
      <w:r w:rsidRPr="00DF26AC">
        <w:rPr>
          <w:b/>
          <w:bCs/>
          <w:lang w:val="en-US"/>
        </w:rPr>
        <w:t>Audit opinion</w:t>
      </w:r>
    </w:p>
    <w:p w14:paraId="1C9DF147" w14:textId="6EE9238F" w:rsidR="00DF26AC" w:rsidRPr="00DF26AC" w:rsidRDefault="00DF26AC" w:rsidP="00DF26AC">
      <w:pPr>
        <w:pStyle w:val="a4"/>
        <w:numPr>
          <w:ilvl w:val="0"/>
          <w:numId w:val="13"/>
        </w:numPr>
        <w:suppressAutoHyphens/>
        <w:spacing w:after="240" w:line="276" w:lineRule="auto"/>
        <w:ind w:left="714" w:hanging="357"/>
        <w:contextualSpacing w:val="0"/>
        <w:jc w:val="both"/>
        <w:rPr>
          <w:rFonts w:eastAsiaTheme="minorHAnsi"/>
        </w:rPr>
      </w:pPr>
      <w:r w:rsidRPr="00DF26AC">
        <w:rPr>
          <w:rFonts w:eastAsiaTheme="minorHAnsi"/>
        </w:rPr>
        <w:t xml:space="preserve">The auditor will issue an audit </w:t>
      </w:r>
      <w:proofErr w:type="gramStart"/>
      <w:r w:rsidRPr="00DF26AC">
        <w:rPr>
          <w:rFonts w:eastAsiaTheme="minorHAnsi"/>
        </w:rPr>
        <w:t>opinion</w:t>
      </w:r>
      <w:r w:rsidR="001C7338">
        <w:rPr>
          <w:rFonts w:eastAsiaTheme="minorHAnsi"/>
        </w:rPr>
        <w:t>s</w:t>
      </w:r>
      <w:proofErr w:type="gramEnd"/>
      <w:r w:rsidRPr="00DF26AC">
        <w:rPr>
          <w:rFonts w:eastAsiaTheme="minorHAnsi"/>
        </w:rPr>
        <w:t xml:space="preserve"> on the financial statements. The auditor’s opinion</w:t>
      </w:r>
      <w:r w:rsidR="001C7338">
        <w:rPr>
          <w:rFonts w:eastAsiaTheme="minorHAnsi"/>
        </w:rPr>
        <w:t>s</w:t>
      </w:r>
      <w:r w:rsidRPr="00DF26AC">
        <w:rPr>
          <w:rFonts w:eastAsiaTheme="minorHAnsi"/>
        </w:rPr>
        <w:t xml:space="preserve"> shall be based on an evaluation of the conclusions drawn from the audit evidence obtained and shall be expressed clearly through a written report that also describes the basis for opinion</w:t>
      </w:r>
      <w:r w:rsidR="001C7338">
        <w:rPr>
          <w:rFonts w:eastAsiaTheme="minorHAnsi"/>
        </w:rPr>
        <w:t>s</w:t>
      </w:r>
      <w:r w:rsidRPr="00DF26AC">
        <w:rPr>
          <w:rFonts w:eastAsiaTheme="minorHAnsi"/>
        </w:rPr>
        <w:t>. The audit repor</w:t>
      </w:r>
      <w:r w:rsidR="001C7338">
        <w:rPr>
          <w:rFonts w:eastAsiaTheme="minorHAnsi"/>
        </w:rPr>
        <w:t>ts</w:t>
      </w:r>
      <w:r w:rsidR="008F72C5" w:rsidRPr="008F72C5">
        <w:rPr>
          <w:rFonts w:eastAsiaTheme="minorHAnsi"/>
          <w:lang w:val="en-US"/>
        </w:rPr>
        <w:t xml:space="preserve"> </w:t>
      </w:r>
      <w:r w:rsidRPr="00DF26AC">
        <w:rPr>
          <w:rFonts w:eastAsiaTheme="minorHAnsi"/>
        </w:rPr>
        <w:t xml:space="preserve">shall be prepared in accordance with International Standard on Auditing 700.  </w:t>
      </w:r>
    </w:p>
    <w:p w14:paraId="723E0383" w14:textId="38FC2C03" w:rsidR="00DF26AC" w:rsidRPr="00DF26AC" w:rsidRDefault="001C7338" w:rsidP="00DF26AC">
      <w:pPr>
        <w:pStyle w:val="a4"/>
        <w:numPr>
          <w:ilvl w:val="0"/>
          <w:numId w:val="13"/>
        </w:numPr>
        <w:suppressAutoHyphens/>
        <w:spacing w:after="240" w:line="276" w:lineRule="auto"/>
        <w:ind w:left="714" w:hanging="357"/>
        <w:contextualSpacing w:val="0"/>
        <w:jc w:val="both"/>
        <w:rPr>
          <w:rFonts w:eastAsiaTheme="minorHAnsi"/>
        </w:rPr>
      </w:pPr>
      <w:r>
        <w:rPr>
          <w:rFonts w:eastAsiaTheme="minorHAnsi"/>
        </w:rPr>
        <w:t>M</w:t>
      </w:r>
      <w:r w:rsidR="00DF26AC" w:rsidRPr="00DF26AC">
        <w:rPr>
          <w:rFonts w:eastAsiaTheme="minorHAnsi"/>
        </w:rPr>
        <w:t>odified audit opinion</w:t>
      </w:r>
      <w:r>
        <w:rPr>
          <w:rFonts w:eastAsiaTheme="minorHAnsi"/>
        </w:rPr>
        <w:t>s</w:t>
      </w:r>
      <w:r w:rsidR="00DF26AC" w:rsidRPr="00DF26AC">
        <w:rPr>
          <w:rFonts w:eastAsiaTheme="minorHAnsi"/>
        </w:rPr>
        <w:t xml:space="preserve"> shall be rendered in the financial statements when the auditor concludes, on the basis of the audit evidence obtained, that the financial statements as a whole are not free from material misstatement; or the auditor is unable to obtain sufficient appropriate audit evidence to conclude that the financial statements as a whole are free from material misstatement. Modified audit opinions shall be in accordance with International Standard on Auditing 705. </w:t>
      </w:r>
    </w:p>
    <w:p w14:paraId="5019A6CF" w14:textId="232B0209" w:rsidR="00DF26AC" w:rsidRPr="001C3667" w:rsidRDefault="00DF26AC" w:rsidP="00DF26AC">
      <w:pPr>
        <w:pStyle w:val="a4"/>
        <w:numPr>
          <w:ilvl w:val="0"/>
          <w:numId w:val="13"/>
        </w:numPr>
        <w:suppressAutoHyphens/>
        <w:spacing w:after="240" w:line="276" w:lineRule="auto"/>
        <w:ind w:left="714" w:hanging="357"/>
        <w:contextualSpacing w:val="0"/>
        <w:jc w:val="both"/>
        <w:rPr>
          <w:rFonts w:eastAsiaTheme="minorHAnsi"/>
          <w:lang w:val="en-US"/>
        </w:rPr>
      </w:pPr>
      <w:r w:rsidRPr="00DF26AC">
        <w:rPr>
          <w:rFonts w:eastAsiaTheme="minorHAnsi"/>
        </w:rPr>
        <w:t>The auditor will include emphasis of matter paragraphs or other matter paragraphs in the audit opinion</w:t>
      </w:r>
      <w:r w:rsidR="001C7338">
        <w:rPr>
          <w:rFonts w:eastAsiaTheme="minorHAnsi"/>
        </w:rPr>
        <w:t>s</w:t>
      </w:r>
      <w:r w:rsidRPr="00DF26AC">
        <w:rPr>
          <w:rFonts w:eastAsiaTheme="minorHAnsi"/>
        </w:rPr>
        <w:t xml:space="preserve"> where the auditor, having formed opinion</w:t>
      </w:r>
      <w:r w:rsidR="001C7338">
        <w:rPr>
          <w:rFonts w:eastAsiaTheme="minorHAnsi"/>
        </w:rPr>
        <w:t>s</w:t>
      </w:r>
      <w:r w:rsidRPr="00DF26AC">
        <w:rPr>
          <w:rFonts w:eastAsiaTheme="minorHAnsi"/>
        </w:rPr>
        <w:t xml:space="preserve"> on the financial statements, seeks to draw users’ </w:t>
      </w:r>
      <w:r w:rsidRPr="00DF26AC">
        <w:rPr>
          <w:rFonts w:eastAsiaTheme="minorHAnsi"/>
        </w:rPr>
        <w:lastRenderedPageBreak/>
        <w:t>attention, when in the auditor’s judgment it is necessary to do so, by way of clear additional communication in the auditor’s report</w:t>
      </w:r>
      <w:r w:rsidR="001C7338">
        <w:rPr>
          <w:rFonts w:eastAsiaTheme="minorHAnsi"/>
        </w:rPr>
        <w:t>s</w:t>
      </w:r>
      <w:r w:rsidRPr="00DF26AC">
        <w:rPr>
          <w:rFonts w:eastAsiaTheme="minorHAnsi"/>
        </w:rPr>
        <w:t xml:space="preserve">. The paragraphs will refer to either a matter that, although appropriately presented or disclosed in the financial statements, is of such importance that it is fundamental to users’ understanding of the financial statements; or as appropriate, any other matter that is relevant to users’ understanding of the audit, the auditor’s responsibilities, or the auditor’s report. This form of opinion will be presented in accordance with International Standard on Auditing 706. </w:t>
      </w:r>
    </w:p>
    <w:p w14:paraId="27F890E0" w14:textId="77777777" w:rsidR="008F72C5" w:rsidRPr="00DF26AC" w:rsidRDefault="008F72C5" w:rsidP="008F72C5">
      <w:pPr>
        <w:pStyle w:val="a4"/>
        <w:suppressAutoHyphens/>
        <w:spacing w:after="240" w:line="276" w:lineRule="auto"/>
        <w:ind w:left="714"/>
        <w:contextualSpacing w:val="0"/>
        <w:jc w:val="both"/>
        <w:rPr>
          <w:rFonts w:eastAsiaTheme="minorHAnsi"/>
        </w:rPr>
      </w:pPr>
    </w:p>
    <w:p w14:paraId="6C364472" w14:textId="7D57CA50" w:rsidR="00DF26AC" w:rsidRPr="00DF26AC" w:rsidRDefault="00DF26AC" w:rsidP="00DF26AC">
      <w:pPr>
        <w:keepNext/>
        <w:keepLines/>
        <w:spacing w:after="240" w:line="276" w:lineRule="auto"/>
        <w:ind w:firstLine="360"/>
        <w:jc w:val="both"/>
        <w:outlineLvl w:val="3"/>
        <w:rPr>
          <w:b/>
          <w:bCs/>
          <w:lang w:val="en-US"/>
        </w:rPr>
      </w:pPr>
      <w:r w:rsidRPr="00DF26AC">
        <w:rPr>
          <w:b/>
          <w:bCs/>
          <w:lang w:val="en-US"/>
        </w:rPr>
        <w:t>Other audit reports</w:t>
      </w:r>
    </w:p>
    <w:p w14:paraId="2D1C99E0" w14:textId="0D4E6ED3" w:rsidR="00DF26AC" w:rsidRDefault="00DF26AC" w:rsidP="00DF26AC">
      <w:pPr>
        <w:suppressAutoHyphens/>
        <w:spacing w:after="240" w:line="276" w:lineRule="auto"/>
        <w:jc w:val="both"/>
        <w:rPr>
          <w:rFonts w:eastAsiaTheme="minorHAnsi"/>
        </w:rPr>
      </w:pPr>
      <w:r w:rsidRPr="00DF26AC">
        <w:rPr>
          <w:rFonts w:eastAsiaTheme="minorHAnsi"/>
        </w:rPr>
        <w:t>In addition to the audit opinion</w:t>
      </w:r>
      <w:r w:rsidR="00872B74">
        <w:rPr>
          <w:rFonts w:eastAsiaTheme="minorHAnsi"/>
        </w:rPr>
        <w:t>s</w:t>
      </w:r>
      <w:r w:rsidRPr="00DF26AC">
        <w:rPr>
          <w:rFonts w:eastAsiaTheme="minorHAnsi"/>
        </w:rPr>
        <w:t>, the auditor will also, either in the audit report</w:t>
      </w:r>
      <w:r w:rsidR="00872B74">
        <w:rPr>
          <w:rFonts w:eastAsiaTheme="minorHAnsi"/>
        </w:rPr>
        <w:t>s</w:t>
      </w:r>
      <w:r w:rsidRPr="00DF26AC">
        <w:rPr>
          <w:rFonts w:eastAsiaTheme="minorHAnsi"/>
        </w:rPr>
        <w:t xml:space="preserve"> or in the report</w:t>
      </w:r>
      <w:r w:rsidR="00872B74">
        <w:rPr>
          <w:rFonts w:eastAsiaTheme="minorHAnsi"/>
        </w:rPr>
        <w:t>s</w:t>
      </w:r>
      <w:r w:rsidRPr="00DF26AC">
        <w:rPr>
          <w:rFonts w:eastAsiaTheme="minorHAnsi"/>
        </w:rPr>
        <w:t xml:space="preserve"> to management:</w:t>
      </w:r>
    </w:p>
    <w:p w14:paraId="3649D7CB" w14:textId="77777777" w:rsidR="00DF26AC" w:rsidRPr="00DF26AC" w:rsidRDefault="00DF26AC" w:rsidP="00DF26AC">
      <w:pPr>
        <w:numPr>
          <w:ilvl w:val="1"/>
          <w:numId w:val="14"/>
        </w:numPr>
        <w:tabs>
          <w:tab w:val="clear" w:pos="1440"/>
        </w:tabs>
        <w:suppressAutoHyphens/>
        <w:spacing w:after="240" w:line="276" w:lineRule="auto"/>
        <w:ind w:left="709" w:hanging="425"/>
        <w:jc w:val="both"/>
        <w:rPr>
          <w:rFonts w:eastAsiaTheme="minorHAnsi"/>
          <w:lang w:val="en-US"/>
        </w:rPr>
      </w:pPr>
      <w:r w:rsidRPr="00DF26AC">
        <w:rPr>
          <w:rFonts w:eastAsiaTheme="minorHAnsi"/>
          <w:lang w:val="en-US"/>
        </w:rPr>
        <w:t>provide comments and observations on the accounting records, systems, and controls that were examined during the course of the audit;</w:t>
      </w:r>
    </w:p>
    <w:p w14:paraId="49E856EB" w14:textId="77777777" w:rsidR="00DF26AC" w:rsidRPr="00DF26AC" w:rsidRDefault="00DF26AC" w:rsidP="00DF26AC">
      <w:pPr>
        <w:numPr>
          <w:ilvl w:val="1"/>
          <w:numId w:val="14"/>
        </w:numPr>
        <w:tabs>
          <w:tab w:val="clear" w:pos="1440"/>
        </w:tabs>
        <w:suppressAutoHyphens/>
        <w:spacing w:after="240" w:line="276" w:lineRule="auto"/>
        <w:ind w:left="709" w:hanging="425"/>
        <w:jc w:val="both"/>
        <w:rPr>
          <w:rFonts w:eastAsiaTheme="minorHAnsi"/>
          <w:lang w:val="en-US"/>
        </w:rPr>
      </w:pPr>
      <w:r w:rsidRPr="00DF26AC">
        <w:rPr>
          <w:rFonts w:eastAsiaTheme="minorHAnsi"/>
          <w:lang w:val="en-US"/>
        </w:rPr>
        <w:t>identify specific deficiencies and areas of weakness in systems and controls and make recommendation for their improvement;</w:t>
      </w:r>
    </w:p>
    <w:p w14:paraId="715B5CD8" w14:textId="77777777" w:rsidR="00DF26AC" w:rsidRPr="00DF26AC" w:rsidRDefault="00DF26AC" w:rsidP="00DF26AC">
      <w:pPr>
        <w:numPr>
          <w:ilvl w:val="1"/>
          <w:numId w:val="14"/>
        </w:numPr>
        <w:tabs>
          <w:tab w:val="clear" w:pos="1440"/>
        </w:tabs>
        <w:suppressAutoHyphens/>
        <w:spacing w:after="240" w:line="276" w:lineRule="auto"/>
        <w:ind w:left="709" w:hanging="425"/>
        <w:jc w:val="both"/>
        <w:rPr>
          <w:rFonts w:eastAsiaTheme="minorHAnsi"/>
          <w:lang w:val="en-US"/>
        </w:rPr>
      </w:pPr>
      <w:r w:rsidRPr="00DF26AC">
        <w:rPr>
          <w:rFonts w:eastAsiaTheme="minorHAnsi"/>
          <w:lang w:val="en-US"/>
        </w:rPr>
        <w:t>report on instances of noncompliance with the terms of the financial agreement(s);</w:t>
      </w:r>
    </w:p>
    <w:p w14:paraId="5905C4C0" w14:textId="77777777" w:rsidR="00DF26AC" w:rsidRPr="00DF26AC" w:rsidRDefault="00DF26AC" w:rsidP="00DF26AC">
      <w:pPr>
        <w:numPr>
          <w:ilvl w:val="1"/>
          <w:numId w:val="14"/>
        </w:numPr>
        <w:tabs>
          <w:tab w:val="clear" w:pos="1440"/>
        </w:tabs>
        <w:suppressAutoHyphens/>
        <w:spacing w:after="240" w:line="276" w:lineRule="auto"/>
        <w:ind w:left="709" w:hanging="425"/>
        <w:jc w:val="both"/>
        <w:rPr>
          <w:rFonts w:eastAsiaTheme="minorHAnsi"/>
          <w:lang w:val="en-US"/>
        </w:rPr>
      </w:pPr>
      <w:r w:rsidRPr="00DF26AC">
        <w:rPr>
          <w:rFonts w:eastAsiaTheme="minorHAnsi"/>
          <w:lang w:val="en-US"/>
        </w:rPr>
        <w:t>quantify and report expenditures that are considered to be ineligible and either paid out of the designated account(s) or claimed from the World Bank;</w:t>
      </w:r>
    </w:p>
    <w:p w14:paraId="4D59E45F" w14:textId="77777777" w:rsidR="00DF26AC" w:rsidRPr="00DF26AC" w:rsidRDefault="00DF26AC" w:rsidP="00DF26AC">
      <w:pPr>
        <w:numPr>
          <w:ilvl w:val="1"/>
          <w:numId w:val="14"/>
        </w:numPr>
        <w:tabs>
          <w:tab w:val="clear" w:pos="1440"/>
        </w:tabs>
        <w:suppressAutoHyphens/>
        <w:spacing w:after="240" w:line="276" w:lineRule="auto"/>
        <w:ind w:left="709" w:hanging="425"/>
        <w:jc w:val="both"/>
        <w:rPr>
          <w:rFonts w:eastAsiaTheme="minorHAnsi"/>
          <w:lang w:val="en-US"/>
        </w:rPr>
      </w:pPr>
      <w:r w:rsidRPr="00DF26AC">
        <w:rPr>
          <w:rFonts w:eastAsiaTheme="minorHAnsi"/>
          <w:lang w:val="en-US"/>
        </w:rPr>
        <w:t xml:space="preserve">communicate matters that have come to attention during the audit that might have a significant impact on the implementation of the project; </w:t>
      </w:r>
    </w:p>
    <w:p w14:paraId="30A5B8B9" w14:textId="77777777" w:rsidR="00DF26AC" w:rsidRPr="00DF26AC" w:rsidRDefault="00DF26AC" w:rsidP="008A66E9">
      <w:pPr>
        <w:numPr>
          <w:ilvl w:val="1"/>
          <w:numId w:val="14"/>
        </w:numPr>
        <w:tabs>
          <w:tab w:val="clear" w:pos="1440"/>
        </w:tabs>
        <w:suppressAutoHyphens/>
        <w:spacing w:after="240" w:line="276" w:lineRule="auto"/>
        <w:ind w:left="709" w:hanging="425"/>
        <w:jc w:val="both"/>
        <w:rPr>
          <w:rFonts w:eastAsiaTheme="minorHAnsi"/>
        </w:rPr>
      </w:pPr>
      <w:r w:rsidRPr="00DF26AC">
        <w:rPr>
          <w:rFonts w:eastAsiaTheme="minorHAnsi"/>
          <w:lang w:val="en-US"/>
        </w:rPr>
        <w:t>draw to the borrower’s attention any other matters that the auditor considers pertinent; and</w:t>
      </w:r>
    </w:p>
    <w:p w14:paraId="7481CFCD" w14:textId="5269671E" w:rsidR="00DF26AC" w:rsidRPr="00DF26AC" w:rsidRDefault="00DF26AC" w:rsidP="008A66E9">
      <w:pPr>
        <w:numPr>
          <w:ilvl w:val="1"/>
          <w:numId w:val="14"/>
        </w:numPr>
        <w:tabs>
          <w:tab w:val="clear" w:pos="1440"/>
        </w:tabs>
        <w:suppressAutoHyphens/>
        <w:spacing w:after="240" w:line="276" w:lineRule="auto"/>
        <w:ind w:left="709" w:hanging="425"/>
        <w:jc w:val="both"/>
        <w:rPr>
          <w:rFonts w:eastAsiaTheme="minorHAnsi"/>
        </w:rPr>
      </w:pPr>
      <w:r w:rsidRPr="00DF26AC">
        <w:rPr>
          <w:rFonts w:eastAsiaTheme="minorHAnsi"/>
          <w:lang w:val="en-US"/>
        </w:rPr>
        <w:t>responses from management, including implemented and proposed remedial actions.</w:t>
      </w:r>
    </w:p>
    <w:p w14:paraId="492E7BC2" w14:textId="4411D127" w:rsidR="00DF26AC" w:rsidRDefault="00DF26AC" w:rsidP="00DF26AC">
      <w:pPr>
        <w:suppressAutoHyphens/>
        <w:spacing w:after="240" w:line="276" w:lineRule="auto"/>
        <w:jc w:val="both"/>
        <w:rPr>
          <w:rFonts w:eastAsiaTheme="minorHAnsi"/>
        </w:rPr>
      </w:pPr>
      <w:r w:rsidRPr="00DF26AC">
        <w:rPr>
          <w:rFonts w:eastAsiaTheme="minorHAnsi"/>
        </w:rPr>
        <w:t>The auditor’s opinion</w:t>
      </w:r>
      <w:r w:rsidR="00872B74">
        <w:rPr>
          <w:rFonts w:eastAsiaTheme="minorHAnsi"/>
        </w:rPr>
        <w:t>s</w:t>
      </w:r>
      <w:r w:rsidRPr="00DF26AC">
        <w:rPr>
          <w:rFonts w:eastAsiaTheme="minorHAnsi"/>
        </w:rPr>
        <w:t xml:space="preserve"> on the financial statements and management letter</w:t>
      </w:r>
      <w:r w:rsidR="00872B74">
        <w:rPr>
          <w:rFonts w:eastAsiaTheme="minorHAnsi"/>
        </w:rPr>
        <w:t>s</w:t>
      </w:r>
      <w:r w:rsidRPr="00DF26AC">
        <w:rPr>
          <w:rFonts w:eastAsiaTheme="minorHAnsi"/>
        </w:rPr>
        <w:t xml:space="preserve"> should be received by the Bank no later than six months after the </w:t>
      </w:r>
      <w:r w:rsidR="001C15BC">
        <w:rPr>
          <w:rFonts w:eastAsiaTheme="minorHAnsi"/>
          <w:lang w:val="en-US"/>
        </w:rPr>
        <w:t>official projects closing dates</w:t>
      </w:r>
      <w:r w:rsidRPr="00DF26AC">
        <w:rPr>
          <w:rFonts w:eastAsiaTheme="minorHAnsi"/>
        </w:rPr>
        <w:t>.</w:t>
      </w:r>
    </w:p>
    <w:p w14:paraId="585CC481" w14:textId="50AF69DD" w:rsidR="00FE7354" w:rsidRDefault="00FE7354" w:rsidP="00DF26AC">
      <w:pPr>
        <w:suppressAutoHyphens/>
        <w:spacing w:after="240" w:line="276" w:lineRule="auto"/>
        <w:jc w:val="both"/>
        <w:rPr>
          <w:rFonts w:eastAsiaTheme="minorHAnsi"/>
          <w:lang w:val="ky-KG"/>
        </w:rPr>
      </w:pPr>
      <w:r w:rsidRPr="00FE7354">
        <w:rPr>
          <w:rFonts w:eastAsiaTheme="minorHAnsi"/>
        </w:rPr>
        <w:t>The financial statements, including the auditor</w:t>
      </w:r>
      <w:r>
        <w:rPr>
          <w:rFonts w:eastAsiaTheme="minorHAnsi"/>
        </w:rPr>
        <w:t>’</w:t>
      </w:r>
      <w:r w:rsidRPr="00FE7354">
        <w:rPr>
          <w:rFonts w:eastAsiaTheme="minorHAnsi"/>
        </w:rPr>
        <w:t>s report</w:t>
      </w:r>
      <w:r w:rsidR="00872B74">
        <w:rPr>
          <w:rFonts w:eastAsiaTheme="minorHAnsi"/>
        </w:rPr>
        <w:t>s</w:t>
      </w:r>
      <w:r w:rsidRPr="00FE7354">
        <w:rPr>
          <w:rFonts w:eastAsiaTheme="minorHAnsi"/>
        </w:rPr>
        <w:t>, and the auditors</w:t>
      </w:r>
      <w:r>
        <w:rPr>
          <w:rFonts w:eastAsiaTheme="minorHAnsi"/>
        </w:rPr>
        <w:t>’</w:t>
      </w:r>
      <w:r w:rsidRPr="00FE7354">
        <w:rPr>
          <w:rFonts w:eastAsiaTheme="minorHAnsi"/>
        </w:rPr>
        <w:t xml:space="preserve"> letter</w:t>
      </w:r>
      <w:r w:rsidR="00872B74">
        <w:rPr>
          <w:rFonts w:eastAsiaTheme="minorHAnsi"/>
        </w:rPr>
        <w:t>s</w:t>
      </w:r>
      <w:r w:rsidRPr="00FE7354">
        <w:rPr>
          <w:rFonts w:eastAsiaTheme="minorHAnsi"/>
        </w:rPr>
        <w:t xml:space="preserve"> to management must be received by the P</w:t>
      </w:r>
      <w:r>
        <w:rPr>
          <w:rFonts w:eastAsiaTheme="minorHAnsi"/>
        </w:rPr>
        <w:t>MOs</w:t>
      </w:r>
      <w:r w:rsidRPr="00FE7354">
        <w:rPr>
          <w:rFonts w:eastAsiaTheme="minorHAnsi"/>
        </w:rPr>
        <w:t xml:space="preserve"> no later than five months after the end of the audited fiscal year. The P</w:t>
      </w:r>
      <w:r>
        <w:rPr>
          <w:rFonts w:eastAsiaTheme="minorHAnsi"/>
        </w:rPr>
        <w:t>MO</w:t>
      </w:r>
      <w:r w:rsidRPr="00FE7354">
        <w:rPr>
          <w:rFonts w:eastAsiaTheme="minorHAnsi"/>
        </w:rPr>
        <w:t xml:space="preserve"> should immediately send to the World Bank two copies of the financial statements (including the auditor's report) and a letter from the auditors to the management. The reports should be submitted in two languages: English and Russian, 3 copies each.</w:t>
      </w:r>
    </w:p>
    <w:p w14:paraId="02997D7C" w14:textId="29390D2B" w:rsidR="00DC1E45" w:rsidRPr="00782A8E" w:rsidRDefault="00DF26AC" w:rsidP="00DF26AC">
      <w:pPr>
        <w:pStyle w:val="a4"/>
        <w:numPr>
          <w:ilvl w:val="0"/>
          <w:numId w:val="1"/>
        </w:numPr>
        <w:suppressAutoHyphens/>
        <w:spacing w:after="240" w:line="276" w:lineRule="auto"/>
        <w:contextualSpacing w:val="0"/>
        <w:jc w:val="both"/>
        <w:rPr>
          <w:b/>
          <w:sz w:val="24"/>
          <w:szCs w:val="24"/>
        </w:rPr>
      </w:pPr>
      <w:r w:rsidRPr="00DF26AC">
        <w:rPr>
          <w:b/>
          <w:sz w:val="24"/>
          <w:szCs w:val="24"/>
        </w:rPr>
        <w:t>General</w:t>
      </w:r>
    </w:p>
    <w:p w14:paraId="64CD009B" w14:textId="77777777" w:rsidR="00DF26AC" w:rsidRPr="00DF26AC" w:rsidRDefault="00DF26AC" w:rsidP="00DF26AC">
      <w:pPr>
        <w:autoSpaceDE w:val="0"/>
        <w:autoSpaceDN w:val="0"/>
        <w:adjustRightInd w:val="0"/>
        <w:spacing w:after="240" w:line="276" w:lineRule="auto"/>
        <w:jc w:val="both"/>
      </w:pPr>
      <w:r w:rsidRPr="00DF26AC">
        <w:t xml:space="preserve">The auditor is entitled to unlimited access to all information and explanations considered necessary to facilitate the audit, including legal documents, project preparation and supervision reports, reports of reviews and investigations, correspondences, and credit account information. The auditor may also seek written confirmation of amounts disbursed and outstanding in the Bank records. </w:t>
      </w:r>
    </w:p>
    <w:p w14:paraId="279D1473" w14:textId="77777777" w:rsidR="00DF26AC" w:rsidRPr="00DF26AC" w:rsidRDefault="00DF26AC" w:rsidP="00DF26AC">
      <w:pPr>
        <w:autoSpaceDE w:val="0"/>
        <w:autoSpaceDN w:val="0"/>
        <w:adjustRightInd w:val="0"/>
        <w:spacing w:after="240" w:line="276" w:lineRule="auto"/>
        <w:jc w:val="both"/>
      </w:pPr>
      <w:r w:rsidRPr="00DF26AC">
        <w:lastRenderedPageBreak/>
        <w:t>The auditor is encouraged to meet and discuss audit-related matters, including input to the audit plan, with the World Bank project task team.</w:t>
      </w:r>
    </w:p>
    <w:p w14:paraId="502646F5" w14:textId="6EAF7FC7" w:rsidR="00DF26AC" w:rsidRPr="00DF26AC" w:rsidRDefault="00DF26AC" w:rsidP="00DF26AC">
      <w:pPr>
        <w:autoSpaceDE w:val="0"/>
        <w:autoSpaceDN w:val="0"/>
        <w:adjustRightInd w:val="0"/>
        <w:spacing w:after="240" w:line="276" w:lineRule="auto"/>
        <w:jc w:val="both"/>
        <w:rPr>
          <w:i/>
        </w:rPr>
      </w:pPr>
      <w:r w:rsidRPr="00DF26AC">
        <w:t>It is highly desirable that the auditor reviews the Bank's financial reporting and auditing requirements contained in</w:t>
      </w:r>
      <w:r w:rsidR="00872B74">
        <w:t xml:space="preserve"> the Bank’s Policy on Investment Policy Financing (IPF)</w:t>
      </w:r>
      <w:r w:rsidRPr="00DF26AC">
        <w:t xml:space="preserve">. The auditor should also be familiar with the </w:t>
      </w:r>
      <w:hyperlink r:id="rId16" w:history="1">
        <w:r w:rsidRPr="00DF26AC">
          <w:rPr>
            <w:rStyle w:val="af"/>
            <w:rFonts w:eastAsiaTheme="minorEastAsia"/>
          </w:rPr>
          <w:t>Disbursement Guidelines for Investment Project Financing</w:t>
        </w:r>
      </w:hyperlink>
      <w:r w:rsidRPr="00DF26AC">
        <w:t xml:space="preserve"> (February 2017), the </w:t>
      </w:r>
      <w:hyperlink r:id="rId17" w:history="1">
        <w:r w:rsidRPr="00DF26AC">
          <w:rPr>
            <w:rStyle w:val="af"/>
            <w:rFonts w:eastAsiaTheme="minorEastAsia"/>
          </w:rPr>
          <w:t>Loan Handbook for World Bank Borrowers</w:t>
        </w:r>
      </w:hyperlink>
      <w:r w:rsidRPr="00DF26AC">
        <w:t xml:space="preserve"> (February 2017), and the </w:t>
      </w:r>
      <w:hyperlink r:id="rId18" w:history="1">
        <w:r w:rsidRPr="00DF26AC">
          <w:rPr>
            <w:rStyle w:val="af"/>
            <w:rFonts w:eastAsiaTheme="minorEastAsia"/>
          </w:rPr>
          <w:t>World Bank’s Procurement Framework</w:t>
        </w:r>
      </w:hyperlink>
      <w:r w:rsidRPr="00DF26AC">
        <w:t xml:space="preserve"> (July 2016).</w:t>
      </w:r>
    </w:p>
    <w:p w14:paraId="771C8BFA" w14:textId="77777777" w:rsidR="00DF26AC" w:rsidRPr="00782A8E" w:rsidRDefault="00DF26AC" w:rsidP="00DF26AC">
      <w:pPr>
        <w:pStyle w:val="a4"/>
        <w:numPr>
          <w:ilvl w:val="0"/>
          <w:numId w:val="1"/>
        </w:numPr>
        <w:suppressAutoHyphens/>
        <w:spacing w:after="240" w:line="276" w:lineRule="auto"/>
        <w:contextualSpacing w:val="0"/>
        <w:jc w:val="both"/>
        <w:rPr>
          <w:b/>
          <w:sz w:val="24"/>
          <w:szCs w:val="24"/>
        </w:rPr>
      </w:pPr>
      <w:r>
        <w:rPr>
          <w:b/>
          <w:sz w:val="24"/>
          <w:szCs w:val="24"/>
        </w:rPr>
        <w:t>Duration of the assignment</w:t>
      </w:r>
    </w:p>
    <w:p w14:paraId="1D32E085" w14:textId="5DC5EF33" w:rsidR="00DF26AC" w:rsidRDefault="00872B74" w:rsidP="00DF26AC">
      <w:pPr>
        <w:spacing w:before="120" w:after="240" w:line="276" w:lineRule="auto"/>
        <w:jc w:val="both"/>
        <w:rPr>
          <w:bCs/>
          <w:lang w:val="en-US"/>
        </w:rPr>
      </w:pPr>
      <w:r>
        <w:rPr>
          <w:bCs/>
          <w:lang w:val="en-US"/>
        </w:rPr>
        <w:t>Lumpsum</w:t>
      </w:r>
      <w:r w:rsidR="00DF26AC" w:rsidRPr="00C05810">
        <w:rPr>
          <w:bCs/>
          <w:lang w:val="en-US"/>
        </w:rPr>
        <w:t xml:space="preserve"> contract will be signed for a</w:t>
      </w:r>
      <w:r w:rsidR="00DF26AC">
        <w:rPr>
          <w:bCs/>
          <w:lang w:val="en-US"/>
        </w:rPr>
        <w:t>n initial</w:t>
      </w:r>
      <w:r w:rsidR="00DF26AC" w:rsidRPr="00C05810">
        <w:rPr>
          <w:bCs/>
          <w:lang w:val="en-US"/>
        </w:rPr>
        <w:t xml:space="preserve"> period of </w:t>
      </w:r>
      <w:r w:rsidR="0038655A">
        <w:rPr>
          <w:bCs/>
          <w:lang w:val="en-US"/>
        </w:rPr>
        <w:t>48</w:t>
      </w:r>
      <w:r w:rsidR="00DF26AC" w:rsidRPr="00C05810">
        <w:rPr>
          <w:bCs/>
          <w:lang w:val="en-US"/>
        </w:rPr>
        <w:t xml:space="preserve"> months. The contract may be extended beyond the original term subject to </w:t>
      </w:r>
      <w:r w:rsidR="00DF26AC">
        <w:rPr>
          <w:bCs/>
          <w:lang w:val="en-US"/>
        </w:rPr>
        <w:t>project periods</w:t>
      </w:r>
      <w:r>
        <w:rPr>
          <w:bCs/>
          <w:lang w:val="en-US"/>
        </w:rPr>
        <w:t xml:space="preserve"> and satisfactory performance of auditors</w:t>
      </w:r>
      <w:r w:rsidR="00DF26AC" w:rsidRPr="00C05810">
        <w:rPr>
          <w:bCs/>
          <w:lang w:val="en-US"/>
        </w:rPr>
        <w:t>.</w:t>
      </w:r>
    </w:p>
    <w:p w14:paraId="32EF58A5" w14:textId="629BD6E8" w:rsidR="00DC1E45" w:rsidRPr="001444A1" w:rsidRDefault="00DC1E45" w:rsidP="00DF26AC">
      <w:pPr>
        <w:pStyle w:val="a4"/>
        <w:numPr>
          <w:ilvl w:val="0"/>
          <w:numId w:val="1"/>
        </w:numPr>
        <w:suppressAutoHyphens/>
        <w:spacing w:after="240" w:line="276" w:lineRule="auto"/>
        <w:contextualSpacing w:val="0"/>
        <w:jc w:val="both"/>
        <w:rPr>
          <w:b/>
          <w:sz w:val="24"/>
          <w:szCs w:val="24"/>
        </w:rPr>
      </w:pPr>
      <w:r w:rsidRPr="001444A1">
        <w:rPr>
          <w:b/>
          <w:sz w:val="24"/>
          <w:szCs w:val="24"/>
        </w:rPr>
        <w:t xml:space="preserve">Qualification </w:t>
      </w:r>
      <w:r w:rsidR="00872B74">
        <w:rPr>
          <w:b/>
          <w:sz w:val="24"/>
          <w:szCs w:val="24"/>
        </w:rPr>
        <w:t>Criteria</w:t>
      </w:r>
    </w:p>
    <w:p w14:paraId="5346E779" w14:textId="77777777" w:rsidR="00FE7354" w:rsidRPr="00FE7354" w:rsidRDefault="00FE7354" w:rsidP="00FE7354">
      <w:pPr>
        <w:spacing w:after="240"/>
        <w:rPr>
          <w:rStyle w:val="HTML"/>
          <w:rFonts w:ascii="Times New Roman" w:eastAsia="Calibri" w:hAnsi="Times New Roman" w:cs="Times New Roman"/>
          <w:sz w:val="24"/>
          <w:szCs w:val="24"/>
          <w:lang w:val="ky-KG"/>
        </w:rPr>
      </w:pPr>
      <w:r w:rsidRPr="00FE7354">
        <w:rPr>
          <w:rStyle w:val="HTML"/>
          <w:rFonts w:ascii="Times New Roman" w:eastAsia="Calibri" w:hAnsi="Times New Roman" w:cs="Times New Roman"/>
          <w:sz w:val="24"/>
          <w:szCs w:val="24"/>
          <w:lang w:val="ky-KG"/>
        </w:rPr>
        <w:t>Selection criteria for inclusion in the short list:</w:t>
      </w:r>
    </w:p>
    <w:p w14:paraId="622ADC28" w14:textId="4B26936E" w:rsidR="00FE7354" w:rsidRPr="00FE7354" w:rsidRDefault="00FE7354" w:rsidP="00FE7354">
      <w:pPr>
        <w:pStyle w:val="a4"/>
        <w:numPr>
          <w:ilvl w:val="0"/>
          <w:numId w:val="17"/>
        </w:numPr>
        <w:spacing w:after="240"/>
        <w:contextualSpacing w:val="0"/>
        <w:rPr>
          <w:rStyle w:val="HTML"/>
          <w:rFonts w:ascii="Times New Roman" w:eastAsia="Calibri" w:hAnsi="Times New Roman" w:cs="Times New Roman"/>
          <w:sz w:val="24"/>
          <w:szCs w:val="24"/>
          <w:lang w:val="ky-KG"/>
        </w:rPr>
      </w:pPr>
      <w:r w:rsidRPr="00FE7354">
        <w:rPr>
          <w:rStyle w:val="HTML"/>
          <w:rFonts w:ascii="Times New Roman" w:eastAsia="Calibri" w:hAnsi="Times New Roman" w:cs="Times New Roman"/>
          <w:sz w:val="24"/>
          <w:szCs w:val="24"/>
          <w:lang w:val="ky-KG"/>
        </w:rPr>
        <w:t>Experience in auditing financial statements for at least seven years – 60 points;</w:t>
      </w:r>
    </w:p>
    <w:p w14:paraId="214CC426" w14:textId="5002BC3C" w:rsidR="00FE7354" w:rsidRPr="00FE7354" w:rsidRDefault="00FE7354" w:rsidP="00FE7354">
      <w:pPr>
        <w:pStyle w:val="a4"/>
        <w:numPr>
          <w:ilvl w:val="0"/>
          <w:numId w:val="17"/>
        </w:numPr>
        <w:spacing w:after="240"/>
        <w:contextualSpacing w:val="0"/>
        <w:rPr>
          <w:rStyle w:val="HTML"/>
          <w:rFonts w:ascii="Times New Roman" w:eastAsia="Calibri" w:hAnsi="Times New Roman" w:cs="Times New Roman"/>
          <w:sz w:val="24"/>
          <w:szCs w:val="24"/>
          <w:lang w:val="ky-KG"/>
        </w:rPr>
      </w:pPr>
      <w:r w:rsidRPr="00FE7354">
        <w:rPr>
          <w:rStyle w:val="HTML"/>
          <w:rFonts w:ascii="Times New Roman" w:eastAsia="Calibri" w:hAnsi="Times New Roman" w:cs="Times New Roman"/>
          <w:sz w:val="24"/>
          <w:szCs w:val="24"/>
          <w:lang w:val="ky-KG"/>
        </w:rPr>
        <w:t>The Company has completed at least two (2) similar assignments in the last three (3) years – 40 points;</w:t>
      </w:r>
    </w:p>
    <w:p w14:paraId="647725A0" w14:textId="3A7F58D9" w:rsidR="00FE7354" w:rsidRPr="00FE7354" w:rsidRDefault="00FE7354" w:rsidP="00FE7354">
      <w:pPr>
        <w:pStyle w:val="a4"/>
        <w:numPr>
          <w:ilvl w:val="0"/>
          <w:numId w:val="17"/>
        </w:numPr>
        <w:spacing w:after="240"/>
        <w:contextualSpacing w:val="0"/>
        <w:rPr>
          <w:rStyle w:val="HTML"/>
          <w:rFonts w:ascii="Times New Roman" w:eastAsia="Calibri" w:hAnsi="Times New Roman" w:cs="Times New Roman"/>
          <w:sz w:val="24"/>
          <w:szCs w:val="24"/>
          <w:lang w:val="ky-KG"/>
        </w:rPr>
      </w:pPr>
      <w:r w:rsidRPr="00FE7354">
        <w:rPr>
          <w:rStyle w:val="HTML"/>
          <w:rFonts w:ascii="Times New Roman" w:eastAsia="Calibri" w:hAnsi="Times New Roman" w:cs="Times New Roman"/>
          <w:sz w:val="24"/>
          <w:szCs w:val="24"/>
          <w:lang w:val="ky-KG"/>
        </w:rPr>
        <w:t>Mandatory requirement: The Company must be on the list of eligible auditing firms of the World Bank.</w:t>
      </w:r>
    </w:p>
    <w:p w14:paraId="220AA4E1" w14:textId="77777777" w:rsidR="00FE7354" w:rsidRDefault="00FE7354" w:rsidP="00DF26AC">
      <w:pPr>
        <w:rPr>
          <w:rStyle w:val="HTML"/>
          <w:rFonts w:ascii="Times New Roman" w:eastAsia="Calibri" w:hAnsi="Times New Roman" w:cs="Times New Roman"/>
          <w:sz w:val="24"/>
          <w:szCs w:val="24"/>
          <w:lang w:val="ky-KG"/>
        </w:rPr>
      </w:pPr>
    </w:p>
    <w:p w14:paraId="6CED6026" w14:textId="20B27D05" w:rsidR="00DF26AC" w:rsidRDefault="00DF26AC" w:rsidP="00DF26AC">
      <w:pPr>
        <w:rPr>
          <w:rStyle w:val="HTML"/>
          <w:rFonts w:ascii="Times New Roman" w:eastAsia="Calibri" w:hAnsi="Times New Roman" w:cs="Times New Roman"/>
          <w:sz w:val="24"/>
          <w:szCs w:val="24"/>
          <w:lang w:val="ky-KG"/>
        </w:rPr>
      </w:pPr>
      <w:r w:rsidRPr="00DF26AC">
        <w:rPr>
          <w:rStyle w:val="HTML"/>
          <w:rFonts w:ascii="Times New Roman" w:eastAsia="Calibri" w:hAnsi="Times New Roman" w:cs="Times New Roman"/>
          <w:sz w:val="24"/>
          <w:szCs w:val="24"/>
        </w:rPr>
        <w:t>List of Key Expert Positions Whose CV and Experience Would Be Evaluated.</w:t>
      </w:r>
    </w:p>
    <w:p w14:paraId="409B4871" w14:textId="77777777" w:rsidR="00FE7354" w:rsidRDefault="00FE7354" w:rsidP="00DF26AC">
      <w:pPr>
        <w:rPr>
          <w:rStyle w:val="HTML"/>
          <w:rFonts w:ascii="Times New Roman" w:eastAsia="Calibri" w:hAnsi="Times New Roman" w:cs="Times New Roman"/>
          <w:sz w:val="24"/>
          <w:szCs w:val="24"/>
          <w:lang w:val="ky-KG"/>
        </w:rPr>
      </w:pPr>
    </w:p>
    <w:p w14:paraId="6BFC056B" w14:textId="77777777" w:rsidR="00FE7354" w:rsidRDefault="00FE7354" w:rsidP="00DF26AC">
      <w:pPr>
        <w:rPr>
          <w:rStyle w:val="HTML"/>
          <w:rFonts w:ascii="Times New Roman" w:eastAsia="Calibri" w:hAnsi="Times New Roman" w:cs="Times New Roman"/>
          <w:sz w:val="24"/>
          <w:szCs w:val="24"/>
          <w:lang w:val="ky-KG"/>
        </w:rPr>
      </w:pPr>
    </w:p>
    <w:p w14:paraId="542A4330" w14:textId="77777777" w:rsidR="00FE7354" w:rsidRPr="00FE7354" w:rsidRDefault="00FE7354" w:rsidP="00DF26AC">
      <w:pPr>
        <w:rPr>
          <w:rStyle w:val="HTML"/>
          <w:rFonts w:ascii="Times New Roman" w:eastAsia="Calibri" w:hAnsi="Times New Roman" w:cs="Times New Roman"/>
          <w:sz w:val="24"/>
          <w:szCs w:val="24"/>
          <w:lang w:val="ky-KG"/>
        </w:rPr>
      </w:pPr>
    </w:p>
    <w:tbl>
      <w:tblPr>
        <w:tblW w:w="987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549"/>
        <w:gridCol w:w="3409"/>
        <w:gridCol w:w="1847"/>
        <w:gridCol w:w="643"/>
        <w:gridCol w:w="621"/>
        <w:gridCol w:w="616"/>
        <w:gridCol w:w="616"/>
      </w:tblGrid>
      <w:tr w:rsidR="00DF26AC" w:rsidRPr="00655ECE" w14:paraId="2DD6C9AB" w14:textId="77777777" w:rsidTr="00FE7354">
        <w:trPr>
          <w:trHeight w:val="617"/>
        </w:trPr>
        <w:tc>
          <w:tcPr>
            <w:tcW w:w="571" w:type="dxa"/>
            <w:vMerge w:val="restart"/>
            <w:tcBorders>
              <w:top w:val="single" w:sz="4" w:space="0" w:color="auto"/>
              <w:left w:val="single" w:sz="4" w:space="0" w:color="auto"/>
              <w:right w:val="single" w:sz="4" w:space="0" w:color="auto"/>
            </w:tcBorders>
            <w:hideMark/>
          </w:tcPr>
          <w:p w14:paraId="03814AD2" w14:textId="77777777" w:rsidR="00DF26AC" w:rsidRPr="00655ECE" w:rsidRDefault="00DF26AC" w:rsidP="00780B8A">
            <w:pPr>
              <w:tabs>
                <w:tab w:val="left" w:pos="360"/>
                <w:tab w:val="right" w:leader="dot" w:pos="8640"/>
              </w:tabs>
              <w:ind w:left="284" w:hanging="284"/>
              <w:jc w:val="both"/>
              <w:rPr>
                <w:b/>
                <w:sz w:val="20"/>
                <w:szCs w:val="20"/>
              </w:rPr>
            </w:pPr>
            <w:r w:rsidRPr="00655ECE">
              <w:rPr>
                <w:b/>
                <w:sz w:val="20"/>
                <w:szCs w:val="20"/>
              </w:rPr>
              <w:t>No.</w:t>
            </w:r>
          </w:p>
        </w:tc>
        <w:tc>
          <w:tcPr>
            <w:tcW w:w="1549" w:type="dxa"/>
            <w:vMerge w:val="restart"/>
            <w:tcBorders>
              <w:top w:val="single" w:sz="4" w:space="0" w:color="auto"/>
              <w:left w:val="single" w:sz="4" w:space="0" w:color="auto"/>
              <w:right w:val="single" w:sz="4" w:space="0" w:color="auto"/>
            </w:tcBorders>
            <w:hideMark/>
          </w:tcPr>
          <w:p w14:paraId="121FFAE3" w14:textId="77777777" w:rsidR="00DF26AC" w:rsidRPr="00655ECE" w:rsidRDefault="00DF26AC" w:rsidP="00780B8A">
            <w:pPr>
              <w:tabs>
                <w:tab w:val="left" w:pos="360"/>
                <w:tab w:val="right" w:leader="dot" w:pos="8640"/>
              </w:tabs>
              <w:jc w:val="both"/>
              <w:rPr>
                <w:b/>
                <w:sz w:val="20"/>
                <w:szCs w:val="20"/>
              </w:rPr>
            </w:pPr>
            <w:r w:rsidRPr="00655ECE">
              <w:rPr>
                <w:b/>
                <w:sz w:val="20"/>
                <w:szCs w:val="20"/>
              </w:rPr>
              <w:t>Key Expert Position</w:t>
            </w:r>
          </w:p>
        </w:tc>
        <w:tc>
          <w:tcPr>
            <w:tcW w:w="3409" w:type="dxa"/>
            <w:vMerge w:val="restart"/>
            <w:tcBorders>
              <w:top w:val="single" w:sz="4" w:space="0" w:color="auto"/>
              <w:left w:val="single" w:sz="4" w:space="0" w:color="auto"/>
              <w:right w:val="single" w:sz="4" w:space="0" w:color="auto"/>
            </w:tcBorders>
          </w:tcPr>
          <w:p w14:paraId="6FE88A76" w14:textId="77777777" w:rsidR="00DF26AC" w:rsidRPr="00655ECE" w:rsidRDefault="00DF26AC" w:rsidP="00780B8A">
            <w:pPr>
              <w:tabs>
                <w:tab w:val="right" w:leader="dot" w:pos="8640"/>
              </w:tabs>
              <w:ind w:left="17" w:hanging="17"/>
              <w:jc w:val="both"/>
              <w:rPr>
                <w:b/>
                <w:sz w:val="20"/>
                <w:szCs w:val="20"/>
              </w:rPr>
            </w:pPr>
            <w:r w:rsidRPr="00655ECE">
              <w:rPr>
                <w:b/>
                <w:sz w:val="20"/>
                <w:szCs w:val="20"/>
              </w:rPr>
              <w:t>Area of Specific Expertise required</w:t>
            </w:r>
          </w:p>
          <w:p w14:paraId="4714D351" w14:textId="77777777" w:rsidR="00DF26AC" w:rsidRPr="00655ECE" w:rsidRDefault="00DF26AC" w:rsidP="00780B8A">
            <w:pPr>
              <w:tabs>
                <w:tab w:val="left" w:pos="360"/>
                <w:tab w:val="right" w:leader="dot" w:pos="8640"/>
              </w:tabs>
              <w:ind w:left="284" w:hanging="284"/>
              <w:jc w:val="both"/>
              <w:rPr>
                <w:b/>
                <w:sz w:val="20"/>
                <w:szCs w:val="20"/>
              </w:rPr>
            </w:pPr>
          </w:p>
        </w:tc>
        <w:tc>
          <w:tcPr>
            <w:tcW w:w="1847" w:type="dxa"/>
            <w:vMerge w:val="restart"/>
            <w:tcBorders>
              <w:top w:val="single" w:sz="4" w:space="0" w:color="auto"/>
              <w:left w:val="single" w:sz="4" w:space="0" w:color="auto"/>
              <w:right w:val="single" w:sz="4" w:space="0" w:color="auto"/>
            </w:tcBorders>
          </w:tcPr>
          <w:p w14:paraId="04FBAD69" w14:textId="77777777" w:rsidR="00DF26AC" w:rsidRPr="00655ECE" w:rsidRDefault="00DF26AC" w:rsidP="00780B8A">
            <w:pPr>
              <w:tabs>
                <w:tab w:val="left" w:pos="0"/>
                <w:tab w:val="right" w:leader="dot" w:pos="8640"/>
              </w:tabs>
              <w:jc w:val="both"/>
              <w:rPr>
                <w:b/>
                <w:sz w:val="20"/>
                <w:szCs w:val="20"/>
              </w:rPr>
            </w:pPr>
            <w:r w:rsidRPr="00655ECE">
              <w:rPr>
                <w:b/>
                <w:sz w:val="20"/>
                <w:szCs w:val="20"/>
              </w:rPr>
              <w:t>Minimum</w:t>
            </w:r>
            <w:r>
              <w:rPr>
                <w:b/>
                <w:sz w:val="20"/>
                <w:szCs w:val="20"/>
              </w:rPr>
              <w:t xml:space="preserve"> </w:t>
            </w:r>
            <w:r w:rsidRPr="00655ECE">
              <w:rPr>
                <w:b/>
                <w:sz w:val="20"/>
                <w:szCs w:val="20"/>
              </w:rPr>
              <w:t>Qualification and Professional Experience Required</w:t>
            </w:r>
          </w:p>
          <w:p w14:paraId="46384699" w14:textId="77777777" w:rsidR="00DF26AC" w:rsidRPr="00655ECE" w:rsidRDefault="00DF26AC" w:rsidP="00780B8A">
            <w:pPr>
              <w:tabs>
                <w:tab w:val="left" w:pos="360"/>
                <w:tab w:val="right" w:leader="dot" w:pos="8640"/>
              </w:tabs>
              <w:ind w:left="284" w:hanging="284"/>
              <w:jc w:val="both"/>
              <w:rPr>
                <w:b/>
                <w:sz w:val="20"/>
                <w:szCs w:val="20"/>
              </w:rPr>
            </w:pPr>
          </w:p>
        </w:tc>
        <w:tc>
          <w:tcPr>
            <w:tcW w:w="2496" w:type="dxa"/>
            <w:gridSpan w:val="4"/>
            <w:tcBorders>
              <w:top w:val="single" w:sz="4" w:space="0" w:color="auto"/>
              <w:left w:val="single" w:sz="4" w:space="0" w:color="auto"/>
              <w:bottom w:val="single" w:sz="4" w:space="0" w:color="auto"/>
              <w:right w:val="single" w:sz="4" w:space="0" w:color="auto"/>
            </w:tcBorders>
          </w:tcPr>
          <w:p w14:paraId="77F930EC" w14:textId="77777777" w:rsidR="00DF26AC" w:rsidRPr="00655ECE" w:rsidRDefault="00DF26AC" w:rsidP="00780B8A">
            <w:pPr>
              <w:tabs>
                <w:tab w:val="left" w:pos="360"/>
                <w:tab w:val="right" w:leader="dot" w:pos="8640"/>
              </w:tabs>
              <w:ind w:left="284" w:hanging="284"/>
              <w:jc w:val="both"/>
              <w:rPr>
                <w:b/>
                <w:sz w:val="20"/>
                <w:szCs w:val="20"/>
              </w:rPr>
            </w:pPr>
            <w:r w:rsidRPr="00655ECE">
              <w:rPr>
                <w:b/>
                <w:sz w:val="20"/>
                <w:szCs w:val="20"/>
              </w:rPr>
              <w:t xml:space="preserve">Min Staff inputs required in person Days for </w:t>
            </w:r>
            <w:proofErr w:type="gramStart"/>
            <w:r w:rsidRPr="00655ECE">
              <w:rPr>
                <w:b/>
                <w:sz w:val="20"/>
                <w:szCs w:val="20"/>
              </w:rPr>
              <w:t>Audit  FY</w:t>
            </w:r>
            <w:proofErr w:type="gramEnd"/>
          </w:p>
        </w:tc>
      </w:tr>
      <w:tr w:rsidR="00FE7354" w:rsidRPr="00655ECE" w14:paraId="1041939C" w14:textId="77777777" w:rsidTr="00FE7354">
        <w:trPr>
          <w:trHeight w:val="1578"/>
        </w:trPr>
        <w:tc>
          <w:tcPr>
            <w:tcW w:w="571" w:type="dxa"/>
            <w:vMerge/>
            <w:tcBorders>
              <w:left w:val="single" w:sz="4" w:space="0" w:color="auto"/>
              <w:bottom w:val="single" w:sz="4" w:space="0" w:color="auto"/>
              <w:right w:val="single" w:sz="4" w:space="0" w:color="auto"/>
            </w:tcBorders>
          </w:tcPr>
          <w:p w14:paraId="24036962" w14:textId="77777777" w:rsidR="00FE7354" w:rsidRPr="00655ECE" w:rsidRDefault="00FE7354" w:rsidP="00780B8A">
            <w:pPr>
              <w:tabs>
                <w:tab w:val="left" w:pos="360"/>
                <w:tab w:val="right" w:leader="dot" w:pos="8640"/>
              </w:tabs>
              <w:ind w:left="284" w:hanging="284"/>
              <w:jc w:val="both"/>
              <w:rPr>
                <w:b/>
                <w:sz w:val="20"/>
                <w:szCs w:val="20"/>
              </w:rPr>
            </w:pPr>
          </w:p>
        </w:tc>
        <w:tc>
          <w:tcPr>
            <w:tcW w:w="1549" w:type="dxa"/>
            <w:vMerge/>
            <w:tcBorders>
              <w:left w:val="single" w:sz="4" w:space="0" w:color="auto"/>
              <w:bottom w:val="single" w:sz="4" w:space="0" w:color="auto"/>
              <w:right w:val="single" w:sz="4" w:space="0" w:color="auto"/>
            </w:tcBorders>
          </w:tcPr>
          <w:p w14:paraId="31EE9A49" w14:textId="77777777" w:rsidR="00FE7354" w:rsidRPr="00655ECE" w:rsidRDefault="00FE7354" w:rsidP="00780B8A">
            <w:pPr>
              <w:tabs>
                <w:tab w:val="left" w:pos="360"/>
                <w:tab w:val="right" w:leader="dot" w:pos="8640"/>
              </w:tabs>
              <w:jc w:val="both"/>
              <w:rPr>
                <w:b/>
                <w:sz w:val="20"/>
                <w:szCs w:val="20"/>
              </w:rPr>
            </w:pPr>
          </w:p>
        </w:tc>
        <w:tc>
          <w:tcPr>
            <w:tcW w:w="3409" w:type="dxa"/>
            <w:vMerge/>
            <w:tcBorders>
              <w:left w:val="single" w:sz="4" w:space="0" w:color="auto"/>
              <w:bottom w:val="single" w:sz="4" w:space="0" w:color="auto"/>
              <w:right w:val="single" w:sz="4" w:space="0" w:color="auto"/>
            </w:tcBorders>
          </w:tcPr>
          <w:p w14:paraId="29A1B983" w14:textId="77777777" w:rsidR="00FE7354" w:rsidRPr="00655ECE" w:rsidRDefault="00FE7354" w:rsidP="00780B8A">
            <w:pPr>
              <w:tabs>
                <w:tab w:val="left" w:pos="360"/>
                <w:tab w:val="right" w:leader="dot" w:pos="8640"/>
              </w:tabs>
              <w:ind w:left="284" w:hanging="284"/>
              <w:jc w:val="both"/>
              <w:rPr>
                <w:b/>
                <w:sz w:val="20"/>
                <w:szCs w:val="20"/>
              </w:rPr>
            </w:pPr>
          </w:p>
        </w:tc>
        <w:tc>
          <w:tcPr>
            <w:tcW w:w="1847" w:type="dxa"/>
            <w:vMerge/>
            <w:tcBorders>
              <w:left w:val="single" w:sz="4" w:space="0" w:color="auto"/>
              <w:bottom w:val="single" w:sz="4" w:space="0" w:color="auto"/>
              <w:right w:val="single" w:sz="4" w:space="0" w:color="auto"/>
            </w:tcBorders>
          </w:tcPr>
          <w:p w14:paraId="3C56AC02" w14:textId="77777777" w:rsidR="00FE7354" w:rsidRPr="00655ECE" w:rsidRDefault="00FE7354" w:rsidP="00780B8A">
            <w:pPr>
              <w:tabs>
                <w:tab w:val="left" w:pos="360"/>
                <w:tab w:val="right" w:leader="dot" w:pos="8640"/>
              </w:tabs>
              <w:ind w:left="284" w:hanging="284"/>
              <w:jc w:val="both"/>
              <w:rPr>
                <w:b/>
                <w:sz w:val="20"/>
                <w:szCs w:val="20"/>
              </w:rPr>
            </w:pPr>
          </w:p>
        </w:tc>
        <w:tc>
          <w:tcPr>
            <w:tcW w:w="643" w:type="dxa"/>
            <w:tcBorders>
              <w:top w:val="single" w:sz="4" w:space="0" w:color="auto"/>
              <w:left w:val="single" w:sz="4" w:space="0" w:color="auto"/>
              <w:bottom w:val="single" w:sz="4" w:space="0" w:color="auto"/>
              <w:right w:val="single" w:sz="4" w:space="0" w:color="auto"/>
            </w:tcBorders>
          </w:tcPr>
          <w:p w14:paraId="6411A543" w14:textId="4F077D3C" w:rsidR="00FE7354" w:rsidRPr="00FE7354" w:rsidRDefault="00FE7354" w:rsidP="00780B8A">
            <w:pPr>
              <w:tabs>
                <w:tab w:val="left" w:pos="360"/>
                <w:tab w:val="right" w:leader="dot" w:pos="8640"/>
              </w:tabs>
              <w:ind w:left="284" w:hanging="284"/>
              <w:jc w:val="both"/>
              <w:rPr>
                <w:b/>
                <w:sz w:val="20"/>
                <w:szCs w:val="20"/>
                <w:lang w:val="ky-KG"/>
              </w:rPr>
            </w:pPr>
            <w:r w:rsidRPr="00655ECE">
              <w:rPr>
                <w:b/>
                <w:sz w:val="20"/>
                <w:szCs w:val="20"/>
              </w:rPr>
              <w:t>20</w:t>
            </w:r>
            <w:r>
              <w:rPr>
                <w:b/>
                <w:sz w:val="20"/>
                <w:szCs w:val="20"/>
                <w:lang w:val="ky-KG"/>
              </w:rPr>
              <w:t>25</w:t>
            </w:r>
          </w:p>
        </w:tc>
        <w:tc>
          <w:tcPr>
            <w:tcW w:w="621" w:type="dxa"/>
            <w:tcBorders>
              <w:top w:val="single" w:sz="4" w:space="0" w:color="auto"/>
              <w:left w:val="single" w:sz="4" w:space="0" w:color="auto"/>
              <w:bottom w:val="single" w:sz="4" w:space="0" w:color="auto"/>
              <w:right w:val="single" w:sz="4" w:space="0" w:color="auto"/>
            </w:tcBorders>
          </w:tcPr>
          <w:p w14:paraId="13FDE1B2" w14:textId="20497ED0" w:rsidR="00FE7354" w:rsidRPr="00FE7354" w:rsidRDefault="00FE7354" w:rsidP="00780B8A">
            <w:pPr>
              <w:tabs>
                <w:tab w:val="left" w:pos="360"/>
                <w:tab w:val="right" w:leader="dot" w:pos="8640"/>
              </w:tabs>
              <w:ind w:left="284" w:hanging="284"/>
              <w:jc w:val="both"/>
              <w:rPr>
                <w:b/>
                <w:sz w:val="20"/>
                <w:szCs w:val="20"/>
                <w:lang w:val="ky-KG"/>
              </w:rPr>
            </w:pPr>
            <w:r w:rsidRPr="00655ECE">
              <w:rPr>
                <w:b/>
                <w:sz w:val="20"/>
                <w:szCs w:val="20"/>
              </w:rPr>
              <w:t>20</w:t>
            </w:r>
            <w:r>
              <w:rPr>
                <w:b/>
                <w:sz w:val="20"/>
                <w:szCs w:val="20"/>
                <w:lang w:val="ky-KG"/>
              </w:rPr>
              <w:t>26</w:t>
            </w:r>
          </w:p>
        </w:tc>
        <w:tc>
          <w:tcPr>
            <w:tcW w:w="616" w:type="dxa"/>
            <w:tcBorders>
              <w:top w:val="single" w:sz="4" w:space="0" w:color="auto"/>
              <w:left w:val="single" w:sz="4" w:space="0" w:color="auto"/>
              <w:bottom w:val="single" w:sz="4" w:space="0" w:color="auto"/>
              <w:right w:val="single" w:sz="4" w:space="0" w:color="auto"/>
            </w:tcBorders>
          </w:tcPr>
          <w:p w14:paraId="0DC821CA" w14:textId="0EE92C68" w:rsidR="00FE7354" w:rsidRPr="00FE7354" w:rsidRDefault="00FE7354" w:rsidP="00780B8A">
            <w:pPr>
              <w:tabs>
                <w:tab w:val="left" w:pos="360"/>
                <w:tab w:val="right" w:leader="dot" w:pos="8640"/>
              </w:tabs>
              <w:ind w:left="284" w:hanging="284"/>
              <w:jc w:val="both"/>
              <w:rPr>
                <w:b/>
                <w:sz w:val="20"/>
                <w:szCs w:val="20"/>
                <w:lang w:val="ky-KG"/>
              </w:rPr>
            </w:pPr>
            <w:r w:rsidRPr="00655ECE">
              <w:rPr>
                <w:b/>
                <w:sz w:val="20"/>
                <w:szCs w:val="20"/>
              </w:rPr>
              <w:t>20</w:t>
            </w:r>
            <w:r>
              <w:rPr>
                <w:b/>
                <w:sz w:val="20"/>
                <w:szCs w:val="20"/>
                <w:lang w:val="ky-KG"/>
              </w:rPr>
              <w:t>27</w:t>
            </w:r>
          </w:p>
        </w:tc>
        <w:tc>
          <w:tcPr>
            <w:tcW w:w="616" w:type="dxa"/>
            <w:tcBorders>
              <w:top w:val="single" w:sz="4" w:space="0" w:color="auto"/>
              <w:left w:val="single" w:sz="4" w:space="0" w:color="auto"/>
              <w:bottom w:val="single" w:sz="4" w:space="0" w:color="auto"/>
              <w:right w:val="single" w:sz="4" w:space="0" w:color="auto"/>
            </w:tcBorders>
          </w:tcPr>
          <w:p w14:paraId="51C4F7BB" w14:textId="59030E04" w:rsidR="00FE7354" w:rsidRPr="00FE7354" w:rsidRDefault="00FE7354" w:rsidP="00780B8A">
            <w:pPr>
              <w:tabs>
                <w:tab w:val="left" w:pos="360"/>
                <w:tab w:val="right" w:leader="dot" w:pos="8640"/>
              </w:tabs>
              <w:ind w:left="284" w:hanging="284"/>
              <w:jc w:val="both"/>
              <w:rPr>
                <w:b/>
                <w:sz w:val="20"/>
                <w:szCs w:val="20"/>
                <w:lang w:val="ky-KG"/>
              </w:rPr>
            </w:pPr>
            <w:r w:rsidRPr="00655ECE">
              <w:rPr>
                <w:b/>
                <w:sz w:val="20"/>
                <w:szCs w:val="20"/>
              </w:rPr>
              <w:t>20</w:t>
            </w:r>
            <w:r>
              <w:rPr>
                <w:b/>
                <w:sz w:val="20"/>
                <w:szCs w:val="20"/>
                <w:lang w:val="ky-KG"/>
              </w:rPr>
              <w:t>28</w:t>
            </w:r>
          </w:p>
        </w:tc>
      </w:tr>
      <w:tr w:rsidR="00FE7354" w:rsidRPr="00655ECE" w14:paraId="1A492A9E" w14:textId="77777777" w:rsidTr="00FE7354">
        <w:trPr>
          <w:trHeight w:val="1354"/>
        </w:trPr>
        <w:tc>
          <w:tcPr>
            <w:tcW w:w="571" w:type="dxa"/>
            <w:tcBorders>
              <w:top w:val="single" w:sz="4" w:space="0" w:color="auto"/>
              <w:left w:val="single" w:sz="4" w:space="0" w:color="auto"/>
              <w:bottom w:val="single" w:sz="4" w:space="0" w:color="auto"/>
              <w:right w:val="single" w:sz="4" w:space="0" w:color="auto"/>
            </w:tcBorders>
            <w:hideMark/>
          </w:tcPr>
          <w:p w14:paraId="3EC88A35" w14:textId="77777777" w:rsidR="00FE7354" w:rsidRPr="00655ECE" w:rsidRDefault="00FE7354" w:rsidP="00780B8A">
            <w:pPr>
              <w:tabs>
                <w:tab w:val="left" w:pos="360"/>
                <w:tab w:val="right" w:leader="dot" w:pos="8640"/>
              </w:tabs>
              <w:ind w:left="284" w:hanging="284"/>
              <w:jc w:val="both"/>
              <w:rPr>
                <w:sz w:val="20"/>
                <w:szCs w:val="20"/>
              </w:rPr>
            </w:pPr>
            <w:r w:rsidRPr="00655ECE">
              <w:rPr>
                <w:sz w:val="20"/>
                <w:szCs w:val="20"/>
              </w:rPr>
              <w:t>K1</w:t>
            </w:r>
          </w:p>
        </w:tc>
        <w:tc>
          <w:tcPr>
            <w:tcW w:w="1549" w:type="dxa"/>
            <w:tcBorders>
              <w:top w:val="single" w:sz="4" w:space="0" w:color="auto"/>
              <w:left w:val="single" w:sz="4" w:space="0" w:color="auto"/>
              <w:bottom w:val="single" w:sz="4" w:space="0" w:color="auto"/>
              <w:right w:val="single" w:sz="4" w:space="0" w:color="auto"/>
            </w:tcBorders>
            <w:hideMark/>
          </w:tcPr>
          <w:p w14:paraId="2E6AF87C" w14:textId="77777777" w:rsidR="00FE7354" w:rsidRPr="00655ECE" w:rsidRDefault="00FE7354" w:rsidP="00780B8A">
            <w:pPr>
              <w:tabs>
                <w:tab w:val="left" w:pos="360"/>
                <w:tab w:val="right" w:leader="dot" w:pos="8640"/>
              </w:tabs>
              <w:jc w:val="both"/>
              <w:rPr>
                <w:sz w:val="20"/>
                <w:szCs w:val="20"/>
              </w:rPr>
            </w:pPr>
            <w:r w:rsidRPr="00655ECE">
              <w:rPr>
                <w:sz w:val="20"/>
                <w:szCs w:val="20"/>
                <w:lang w:val="en-GB"/>
              </w:rPr>
              <w:t xml:space="preserve">Audit </w:t>
            </w:r>
            <w:r w:rsidRPr="00655ECE">
              <w:rPr>
                <w:sz w:val="20"/>
                <w:szCs w:val="20"/>
              </w:rPr>
              <w:t>partner</w:t>
            </w:r>
            <w:r w:rsidRPr="00655ECE">
              <w:rPr>
                <w:rStyle w:val="af3"/>
                <w:rFonts w:eastAsiaTheme="majorEastAsia"/>
                <w:sz w:val="20"/>
                <w:szCs w:val="20"/>
              </w:rPr>
              <w:footnoteReference w:id="2"/>
            </w:r>
          </w:p>
        </w:tc>
        <w:tc>
          <w:tcPr>
            <w:tcW w:w="3409" w:type="dxa"/>
            <w:tcBorders>
              <w:top w:val="single" w:sz="4" w:space="0" w:color="auto"/>
              <w:left w:val="single" w:sz="4" w:space="0" w:color="auto"/>
              <w:bottom w:val="single" w:sz="4" w:space="0" w:color="auto"/>
              <w:right w:val="single" w:sz="4" w:space="0" w:color="auto"/>
            </w:tcBorders>
            <w:hideMark/>
          </w:tcPr>
          <w:p w14:paraId="58CB6FBB" w14:textId="77777777" w:rsidR="00FE7354" w:rsidRPr="00655ECE" w:rsidRDefault="00FE7354" w:rsidP="00780B8A">
            <w:pPr>
              <w:tabs>
                <w:tab w:val="left" w:pos="0"/>
                <w:tab w:val="right" w:leader="dot" w:pos="8640"/>
              </w:tabs>
              <w:jc w:val="both"/>
              <w:rPr>
                <w:sz w:val="20"/>
                <w:szCs w:val="20"/>
              </w:rPr>
            </w:pPr>
            <w:r w:rsidRPr="00655ECE">
              <w:rPr>
                <w:sz w:val="20"/>
                <w:szCs w:val="20"/>
              </w:rPr>
              <w:t>ISA, IFRS/IPSAS, National Accounting Standards and tax regulations; general coordination and management of the project, preparation and signing of audit report</w:t>
            </w:r>
          </w:p>
        </w:tc>
        <w:tc>
          <w:tcPr>
            <w:tcW w:w="1847" w:type="dxa"/>
            <w:tcBorders>
              <w:top w:val="single" w:sz="4" w:space="0" w:color="auto"/>
              <w:left w:val="single" w:sz="4" w:space="0" w:color="auto"/>
              <w:bottom w:val="single" w:sz="4" w:space="0" w:color="auto"/>
              <w:right w:val="single" w:sz="4" w:space="0" w:color="auto"/>
            </w:tcBorders>
            <w:hideMark/>
          </w:tcPr>
          <w:p w14:paraId="0F8A4C1A" w14:textId="77777777" w:rsidR="00FE7354" w:rsidRPr="00655ECE" w:rsidRDefault="00FE7354" w:rsidP="00780B8A">
            <w:pPr>
              <w:tabs>
                <w:tab w:val="left" w:pos="0"/>
                <w:tab w:val="right" w:leader="dot" w:pos="8640"/>
              </w:tabs>
              <w:jc w:val="both"/>
              <w:rPr>
                <w:sz w:val="20"/>
                <w:szCs w:val="20"/>
              </w:rPr>
            </w:pPr>
            <w:r w:rsidRPr="00655ECE">
              <w:rPr>
                <w:sz w:val="20"/>
                <w:szCs w:val="20"/>
              </w:rPr>
              <w:t>Minimum 7 years of relevant project experience, international certification</w:t>
            </w:r>
          </w:p>
        </w:tc>
        <w:tc>
          <w:tcPr>
            <w:tcW w:w="643" w:type="dxa"/>
            <w:tcBorders>
              <w:top w:val="single" w:sz="4" w:space="0" w:color="auto"/>
              <w:left w:val="single" w:sz="4" w:space="0" w:color="auto"/>
              <w:bottom w:val="single" w:sz="4" w:space="0" w:color="auto"/>
              <w:right w:val="single" w:sz="4" w:space="0" w:color="auto"/>
            </w:tcBorders>
          </w:tcPr>
          <w:p w14:paraId="47963BE4" w14:textId="77777777" w:rsidR="00FE7354" w:rsidRPr="00655ECE" w:rsidRDefault="00FE7354" w:rsidP="00780B8A">
            <w:pPr>
              <w:tabs>
                <w:tab w:val="left" w:pos="360"/>
              </w:tabs>
              <w:ind w:left="284" w:hanging="284"/>
              <w:jc w:val="both"/>
              <w:rPr>
                <w:sz w:val="20"/>
                <w:szCs w:val="20"/>
              </w:rPr>
            </w:pPr>
            <w:r w:rsidRPr="00655ECE">
              <w:rPr>
                <w:sz w:val="20"/>
                <w:szCs w:val="20"/>
              </w:rPr>
              <w:t>15</w:t>
            </w:r>
          </w:p>
        </w:tc>
        <w:tc>
          <w:tcPr>
            <w:tcW w:w="621" w:type="dxa"/>
            <w:tcBorders>
              <w:top w:val="single" w:sz="4" w:space="0" w:color="auto"/>
              <w:left w:val="single" w:sz="4" w:space="0" w:color="auto"/>
              <w:bottom w:val="single" w:sz="4" w:space="0" w:color="auto"/>
              <w:right w:val="single" w:sz="4" w:space="0" w:color="auto"/>
            </w:tcBorders>
          </w:tcPr>
          <w:p w14:paraId="69846760" w14:textId="77777777" w:rsidR="00FE7354" w:rsidRPr="00655ECE" w:rsidRDefault="00FE7354" w:rsidP="00780B8A">
            <w:pPr>
              <w:rPr>
                <w:sz w:val="20"/>
                <w:szCs w:val="20"/>
              </w:rPr>
            </w:pPr>
            <w:r w:rsidRPr="00655ECE">
              <w:rPr>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177ECE01" w14:textId="77777777" w:rsidR="00FE7354" w:rsidRPr="00655ECE" w:rsidRDefault="00FE7354" w:rsidP="00780B8A">
            <w:pPr>
              <w:rPr>
                <w:sz w:val="20"/>
                <w:szCs w:val="20"/>
              </w:rPr>
            </w:pPr>
            <w:r w:rsidRPr="00655ECE">
              <w:rPr>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76B1C710" w14:textId="77777777" w:rsidR="00FE7354" w:rsidRPr="00655ECE" w:rsidRDefault="00FE7354" w:rsidP="00780B8A">
            <w:pPr>
              <w:rPr>
                <w:sz w:val="20"/>
                <w:szCs w:val="20"/>
              </w:rPr>
            </w:pPr>
            <w:r w:rsidRPr="00655ECE">
              <w:rPr>
                <w:sz w:val="20"/>
                <w:szCs w:val="20"/>
              </w:rPr>
              <w:t>15</w:t>
            </w:r>
          </w:p>
        </w:tc>
      </w:tr>
      <w:tr w:rsidR="00FE7354" w:rsidRPr="00655ECE" w14:paraId="2243317B" w14:textId="77777777" w:rsidTr="00FE7354">
        <w:trPr>
          <w:trHeight w:val="975"/>
        </w:trPr>
        <w:tc>
          <w:tcPr>
            <w:tcW w:w="571" w:type="dxa"/>
            <w:tcBorders>
              <w:top w:val="single" w:sz="4" w:space="0" w:color="auto"/>
              <w:left w:val="single" w:sz="4" w:space="0" w:color="auto"/>
              <w:bottom w:val="single" w:sz="4" w:space="0" w:color="auto"/>
              <w:right w:val="single" w:sz="4" w:space="0" w:color="auto"/>
            </w:tcBorders>
            <w:hideMark/>
          </w:tcPr>
          <w:p w14:paraId="03F4A820" w14:textId="77777777" w:rsidR="00FE7354" w:rsidRPr="00655ECE" w:rsidRDefault="00FE7354" w:rsidP="00780B8A">
            <w:pPr>
              <w:tabs>
                <w:tab w:val="left" w:pos="360"/>
                <w:tab w:val="right" w:leader="dot" w:pos="8640"/>
              </w:tabs>
              <w:ind w:left="284" w:hanging="284"/>
              <w:jc w:val="both"/>
              <w:rPr>
                <w:sz w:val="20"/>
                <w:szCs w:val="20"/>
              </w:rPr>
            </w:pPr>
            <w:r w:rsidRPr="00655ECE">
              <w:rPr>
                <w:sz w:val="20"/>
                <w:szCs w:val="20"/>
              </w:rPr>
              <w:t>K2</w:t>
            </w:r>
          </w:p>
        </w:tc>
        <w:tc>
          <w:tcPr>
            <w:tcW w:w="1549" w:type="dxa"/>
            <w:tcBorders>
              <w:top w:val="single" w:sz="4" w:space="0" w:color="auto"/>
              <w:left w:val="single" w:sz="4" w:space="0" w:color="auto"/>
              <w:bottom w:val="single" w:sz="4" w:space="0" w:color="auto"/>
              <w:right w:val="single" w:sz="4" w:space="0" w:color="auto"/>
            </w:tcBorders>
            <w:hideMark/>
          </w:tcPr>
          <w:p w14:paraId="5BE273FE" w14:textId="77777777" w:rsidR="00FE7354" w:rsidRPr="00655ECE" w:rsidRDefault="00FE7354" w:rsidP="00780B8A">
            <w:pPr>
              <w:tabs>
                <w:tab w:val="left" w:pos="360"/>
                <w:tab w:val="right" w:leader="dot" w:pos="8640"/>
              </w:tabs>
              <w:jc w:val="both"/>
              <w:rPr>
                <w:sz w:val="20"/>
                <w:szCs w:val="20"/>
              </w:rPr>
            </w:pPr>
            <w:r w:rsidRPr="00655ECE">
              <w:rPr>
                <w:sz w:val="20"/>
                <w:szCs w:val="20"/>
              </w:rPr>
              <w:t>Audit Manager-Team leader</w:t>
            </w:r>
          </w:p>
        </w:tc>
        <w:tc>
          <w:tcPr>
            <w:tcW w:w="3409" w:type="dxa"/>
            <w:tcBorders>
              <w:top w:val="single" w:sz="4" w:space="0" w:color="auto"/>
              <w:left w:val="single" w:sz="4" w:space="0" w:color="auto"/>
              <w:bottom w:val="single" w:sz="4" w:space="0" w:color="auto"/>
              <w:right w:val="single" w:sz="4" w:space="0" w:color="auto"/>
            </w:tcBorders>
            <w:hideMark/>
          </w:tcPr>
          <w:p w14:paraId="1988C319" w14:textId="77777777" w:rsidR="00FE7354" w:rsidRPr="00655ECE" w:rsidRDefault="00FE7354" w:rsidP="00780B8A">
            <w:pPr>
              <w:tabs>
                <w:tab w:val="left" w:pos="0"/>
                <w:tab w:val="right" w:leader="dot" w:pos="8640"/>
              </w:tabs>
              <w:jc w:val="both"/>
              <w:rPr>
                <w:sz w:val="20"/>
                <w:szCs w:val="20"/>
              </w:rPr>
            </w:pPr>
            <w:r w:rsidRPr="00655ECE">
              <w:rPr>
                <w:sz w:val="20"/>
                <w:szCs w:val="20"/>
              </w:rPr>
              <w:t>ISA, IFRS/IPSAS, National Accounting Standards and tax regulations. Primary management, client communication and review</w:t>
            </w:r>
          </w:p>
        </w:tc>
        <w:tc>
          <w:tcPr>
            <w:tcW w:w="1847" w:type="dxa"/>
            <w:tcBorders>
              <w:top w:val="single" w:sz="4" w:space="0" w:color="auto"/>
              <w:left w:val="single" w:sz="4" w:space="0" w:color="auto"/>
              <w:bottom w:val="single" w:sz="4" w:space="0" w:color="auto"/>
              <w:right w:val="single" w:sz="4" w:space="0" w:color="auto"/>
            </w:tcBorders>
            <w:hideMark/>
          </w:tcPr>
          <w:p w14:paraId="2EB1582C" w14:textId="77777777" w:rsidR="00FE7354" w:rsidRPr="00655ECE" w:rsidRDefault="00FE7354" w:rsidP="00780B8A">
            <w:pPr>
              <w:tabs>
                <w:tab w:val="left" w:pos="0"/>
                <w:tab w:val="right" w:leader="dot" w:pos="8640"/>
              </w:tabs>
              <w:jc w:val="both"/>
              <w:rPr>
                <w:sz w:val="20"/>
                <w:szCs w:val="20"/>
              </w:rPr>
            </w:pPr>
            <w:r w:rsidRPr="00655ECE">
              <w:rPr>
                <w:sz w:val="20"/>
                <w:szCs w:val="20"/>
              </w:rPr>
              <w:t>Minimum 5 years of relevant project experience</w:t>
            </w:r>
          </w:p>
          <w:p w14:paraId="64904B67" w14:textId="77777777" w:rsidR="00FE7354" w:rsidRPr="00655ECE" w:rsidRDefault="00FE7354" w:rsidP="00780B8A">
            <w:pPr>
              <w:tabs>
                <w:tab w:val="left" w:pos="0"/>
                <w:tab w:val="right" w:leader="dot" w:pos="8640"/>
              </w:tabs>
              <w:jc w:val="both"/>
              <w:rPr>
                <w:sz w:val="20"/>
                <w:szCs w:val="20"/>
              </w:rPr>
            </w:pPr>
            <w:r w:rsidRPr="00655ECE">
              <w:rPr>
                <w:sz w:val="20"/>
                <w:szCs w:val="20"/>
              </w:rPr>
              <w:t>in similar projects, at least qualification CAP / CIPA</w:t>
            </w:r>
          </w:p>
        </w:tc>
        <w:tc>
          <w:tcPr>
            <w:tcW w:w="643" w:type="dxa"/>
            <w:tcBorders>
              <w:top w:val="single" w:sz="4" w:space="0" w:color="auto"/>
              <w:left w:val="single" w:sz="4" w:space="0" w:color="auto"/>
              <w:bottom w:val="single" w:sz="4" w:space="0" w:color="auto"/>
              <w:right w:val="single" w:sz="4" w:space="0" w:color="auto"/>
            </w:tcBorders>
          </w:tcPr>
          <w:p w14:paraId="0EA989D5" w14:textId="77777777" w:rsidR="00FE7354" w:rsidRPr="00655ECE" w:rsidRDefault="00FE7354" w:rsidP="00780B8A">
            <w:pPr>
              <w:tabs>
                <w:tab w:val="left" w:pos="360"/>
              </w:tabs>
              <w:ind w:left="284" w:hanging="284"/>
              <w:jc w:val="both"/>
              <w:rPr>
                <w:sz w:val="20"/>
                <w:szCs w:val="20"/>
              </w:rPr>
            </w:pPr>
            <w:r w:rsidRPr="00655ECE">
              <w:rPr>
                <w:sz w:val="20"/>
                <w:szCs w:val="20"/>
              </w:rPr>
              <w:t>30</w:t>
            </w:r>
          </w:p>
        </w:tc>
        <w:tc>
          <w:tcPr>
            <w:tcW w:w="621" w:type="dxa"/>
            <w:tcBorders>
              <w:top w:val="single" w:sz="4" w:space="0" w:color="auto"/>
              <w:left w:val="single" w:sz="4" w:space="0" w:color="auto"/>
              <w:bottom w:val="single" w:sz="4" w:space="0" w:color="auto"/>
              <w:right w:val="single" w:sz="4" w:space="0" w:color="auto"/>
            </w:tcBorders>
          </w:tcPr>
          <w:p w14:paraId="19197AEF" w14:textId="77777777" w:rsidR="00FE7354" w:rsidRPr="00655ECE" w:rsidRDefault="00FE7354" w:rsidP="00780B8A">
            <w:pPr>
              <w:tabs>
                <w:tab w:val="left" w:pos="360"/>
              </w:tabs>
              <w:ind w:left="284" w:hanging="284"/>
              <w:jc w:val="both"/>
              <w:rPr>
                <w:sz w:val="20"/>
                <w:szCs w:val="20"/>
              </w:rPr>
            </w:pPr>
            <w:r w:rsidRPr="00655ECE">
              <w:rPr>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018DF267" w14:textId="77777777" w:rsidR="00FE7354" w:rsidRPr="00655ECE" w:rsidRDefault="00FE7354" w:rsidP="00780B8A">
            <w:pPr>
              <w:tabs>
                <w:tab w:val="left" w:pos="360"/>
              </w:tabs>
              <w:ind w:left="284" w:hanging="284"/>
              <w:jc w:val="both"/>
              <w:rPr>
                <w:sz w:val="20"/>
                <w:szCs w:val="20"/>
              </w:rPr>
            </w:pPr>
            <w:r w:rsidRPr="00655ECE">
              <w:rPr>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3D990926" w14:textId="77777777" w:rsidR="00FE7354" w:rsidRPr="00655ECE" w:rsidRDefault="00FE7354" w:rsidP="00780B8A">
            <w:pPr>
              <w:tabs>
                <w:tab w:val="left" w:pos="360"/>
              </w:tabs>
              <w:ind w:left="284" w:hanging="284"/>
              <w:jc w:val="both"/>
              <w:rPr>
                <w:sz w:val="20"/>
                <w:szCs w:val="20"/>
              </w:rPr>
            </w:pPr>
            <w:r w:rsidRPr="00655ECE">
              <w:rPr>
                <w:sz w:val="20"/>
                <w:szCs w:val="20"/>
              </w:rPr>
              <w:t>30</w:t>
            </w:r>
          </w:p>
        </w:tc>
      </w:tr>
      <w:tr w:rsidR="00FE7354" w:rsidRPr="00655ECE" w14:paraId="585C82D6" w14:textId="77777777" w:rsidTr="00FE7354">
        <w:trPr>
          <w:trHeight w:val="1354"/>
        </w:trPr>
        <w:tc>
          <w:tcPr>
            <w:tcW w:w="571" w:type="dxa"/>
            <w:tcBorders>
              <w:top w:val="single" w:sz="4" w:space="0" w:color="auto"/>
              <w:left w:val="single" w:sz="4" w:space="0" w:color="auto"/>
              <w:bottom w:val="single" w:sz="4" w:space="0" w:color="auto"/>
              <w:right w:val="single" w:sz="4" w:space="0" w:color="auto"/>
            </w:tcBorders>
            <w:hideMark/>
          </w:tcPr>
          <w:p w14:paraId="06CDEEB7" w14:textId="77777777" w:rsidR="00FE7354" w:rsidRPr="00655ECE" w:rsidRDefault="00FE7354" w:rsidP="00780B8A">
            <w:pPr>
              <w:tabs>
                <w:tab w:val="left" w:pos="720"/>
                <w:tab w:val="left" w:pos="1440"/>
                <w:tab w:val="right" w:leader="dot" w:pos="8640"/>
              </w:tabs>
              <w:ind w:left="284" w:hanging="284"/>
              <w:jc w:val="both"/>
              <w:rPr>
                <w:sz w:val="20"/>
                <w:szCs w:val="20"/>
              </w:rPr>
            </w:pPr>
            <w:r w:rsidRPr="00655ECE">
              <w:rPr>
                <w:sz w:val="20"/>
                <w:szCs w:val="20"/>
              </w:rPr>
              <w:lastRenderedPageBreak/>
              <w:t>K3</w:t>
            </w:r>
          </w:p>
        </w:tc>
        <w:tc>
          <w:tcPr>
            <w:tcW w:w="1549" w:type="dxa"/>
            <w:tcBorders>
              <w:top w:val="single" w:sz="4" w:space="0" w:color="auto"/>
              <w:left w:val="single" w:sz="4" w:space="0" w:color="auto"/>
              <w:bottom w:val="single" w:sz="4" w:space="0" w:color="auto"/>
              <w:right w:val="single" w:sz="4" w:space="0" w:color="auto"/>
            </w:tcBorders>
            <w:hideMark/>
          </w:tcPr>
          <w:p w14:paraId="254B8A58" w14:textId="77777777" w:rsidR="00FE7354" w:rsidRPr="00655ECE" w:rsidRDefault="00FE7354" w:rsidP="00780B8A">
            <w:pPr>
              <w:tabs>
                <w:tab w:val="left" w:pos="720"/>
                <w:tab w:val="left" w:pos="1440"/>
                <w:tab w:val="right" w:leader="dot" w:pos="8640"/>
              </w:tabs>
              <w:jc w:val="both"/>
              <w:rPr>
                <w:sz w:val="20"/>
                <w:szCs w:val="20"/>
                <w:lang w:val="en-GB"/>
              </w:rPr>
            </w:pPr>
            <w:r w:rsidRPr="00655ECE">
              <w:rPr>
                <w:i/>
                <w:sz w:val="20"/>
                <w:szCs w:val="20"/>
                <w:lang w:val="en-GB"/>
              </w:rPr>
              <w:t>Auditor in Charge</w:t>
            </w:r>
          </w:p>
        </w:tc>
        <w:tc>
          <w:tcPr>
            <w:tcW w:w="3409" w:type="dxa"/>
            <w:tcBorders>
              <w:top w:val="single" w:sz="4" w:space="0" w:color="auto"/>
              <w:left w:val="single" w:sz="4" w:space="0" w:color="auto"/>
              <w:bottom w:val="single" w:sz="4" w:space="0" w:color="auto"/>
              <w:right w:val="single" w:sz="4" w:space="0" w:color="auto"/>
            </w:tcBorders>
            <w:hideMark/>
          </w:tcPr>
          <w:p w14:paraId="5E071DB8" w14:textId="77777777" w:rsidR="00FE7354" w:rsidRPr="00655ECE" w:rsidRDefault="00FE7354" w:rsidP="00780B8A">
            <w:pPr>
              <w:tabs>
                <w:tab w:val="left" w:pos="0"/>
                <w:tab w:val="left" w:pos="720"/>
                <w:tab w:val="left" w:pos="1440"/>
                <w:tab w:val="right" w:leader="dot" w:pos="8640"/>
              </w:tabs>
              <w:jc w:val="both"/>
              <w:rPr>
                <w:sz w:val="20"/>
                <w:szCs w:val="20"/>
              </w:rPr>
            </w:pPr>
            <w:r w:rsidRPr="00655ECE">
              <w:rPr>
                <w:sz w:val="20"/>
                <w:szCs w:val="20"/>
              </w:rPr>
              <w:t>ISA, IFRS/IPSAS, National Accounting Standards and tax regulations. Primary review of working papers, financial statements and performance of detailed audit procedures</w:t>
            </w:r>
          </w:p>
        </w:tc>
        <w:tc>
          <w:tcPr>
            <w:tcW w:w="1847" w:type="dxa"/>
            <w:tcBorders>
              <w:top w:val="single" w:sz="4" w:space="0" w:color="auto"/>
              <w:left w:val="single" w:sz="4" w:space="0" w:color="auto"/>
              <w:bottom w:val="single" w:sz="4" w:space="0" w:color="auto"/>
              <w:right w:val="single" w:sz="4" w:space="0" w:color="auto"/>
            </w:tcBorders>
            <w:hideMark/>
          </w:tcPr>
          <w:p w14:paraId="520C0E2F" w14:textId="77777777" w:rsidR="00FE7354" w:rsidRPr="00655ECE" w:rsidRDefault="00FE7354" w:rsidP="00780B8A">
            <w:pPr>
              <w:tabs>
                <w:tab w:val="left" w:pos="0"/>
                <w:tab w:val="left" w:pos="720"/>
                <w:tab w:val="left" w:pos="1440"/>
                <w:tab w:val="right" w:leader="dot" w:pos="8640"/>
              </w:tabs>
              <w:jc w:val="both"/>
              <w:rPr>
                <w:sz w:val="20"/>
                <w:szCs w:val="20"/>
              </w:rPr>
            </w:pPr>
            <w:r w:rsidRPr="00655ECE">
              <w:rPr>
                <w:sz w:val="20"/>
                <w:szCs w:val="20"/>
              </w:rPr>
              <w:t>Minimum 3 years of relevant project experience</w:t>
            </w:r>
          </w:p>
        </w:tc>
        <w:tc>
          <w:tcPr>
            <w:tcW w:w="643" w:type="dxa"/>
            <w:tcBorders>
              <w:top w:val="single" w:sz="4" w:space="0" w:color="auto"/>
              <w:left w:val="single" w:sz="4" w:space="0" w:color="auto"/>
              <w:bottom w:val="single" w:sz="4" w:space="0" w:color="auto"/>
              <w:right w:val="single" w:sz="4" w:space="0" w:color="auto"/>
            </w:tcBorders>
          </w:tcPr>
          <w:p w14:paraId="338901F5" w14:textId="77777777" w:rsidR="00FE7354" w:rsidRPr="00655ECE" w:rsidRDefault="00FE7354" w:rsidP="00780B8A">
            <w:pPr>
              <w:ind w:left="284" w:hanging="284"/>
              <w:jc w:val="both"/>
              <w:rPr>
                <w:sz w:val="20"/>
                <w:szCs w:val="20"/>
              </w:rPr>
            </w:pPr>
            <w:r w:rsidRPr="00655ECE">
              <w:rPr>
                <w:sz w:val="20"/>
                <w:szCs w:val="20"/>
              </w:rPr>
              <w:t>30</w:t>
            </w:r>
          </w:p>
        </w:tc>
        <w:tc>
          <w:tcPr>
            <w:tcW w:w="621" w:type="dxa"/>
            <w:tcBorders>
              <w:top w:val="single" w:sz="4" w:space="0" w:color="auto"/>
              <w:left w:val="single" w:sz="4" w:space="0" w:color="auto"/>
              <w:bottom w:val="single" w:sz="4" w:space="0" w:color="auto"/>
              <w:right w:val="single" w:sz="4" w:space="0" w:color="auto"/>
            </w:tcBorders>
          </w:tcPr>
          <w:p w14:paraId="2A1CE886" w14:textId="77777777" w:rsidR="00FE7354" w:rsidRPr="00655ECE" w:rsidRDefault="00FE7354" w:rsidP="00780B8A">
            <w:pPr>
              <w:tabs>
                <w:tab w:val="left" w:pos="360"/>
              </w:tabs>
              <w:ind w:left="284" w:hanging="284"/>
              <w:jc w:val="both"/>
              <w:rPr>
                <w:sz w:val="20"/>
                <w:szCs w:val="20"/>
              </w:rPr>
            </w:pPr>
            <w:r w:rsidRPr="00655ECE">
              <w:rPr>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32113253" w14:textId="77777777" w:rsidR="00FE7354" w:rsidRPr="00655ECE" w:rsidRDefault="00FE7354" w:rsidP="00780B8A">
            <w:pPr>
              <w:tabs>
                <w:tab w:val="left" w:pos="360"/>
              </w:tabs>
              <w:ind w:left="284" w:hanging="284"/>
              <w:jc w:val="both"/>
              <w:rPr>
                <w:sz w:val="20"/>
                <w:szCs w:val="20"/>
              </w:rPr>
            </w:pPr>
            <w:r w:rsidRPr="00655ECE">
              <w:rPr>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58C4653B" w14:textId="77777777" w:rsidR="00FE7354" w:rsidRPr="00655ECE" w:rsidRDefault="00FE7354" w:rsidP="00780B8A">
            <w:pPr>
              <w:tabs>
                <w:tab w:val="left" w:pos="360"/>
              </w:tabs>
              <w:ind w:left="284" w:hanging="284"/>
              <w:jc w:val="both"/>
              <w:rPr>
                <w:sz w:val="20"/>
                <w:szCs w:val="20"/>
              </w:rPr>
            </w:pPr>
            <w:r w:rsidRPr="00655ECE">
              <w:rPr>
                <w:sz w:val="20"/>
                <w:szCs w:val="20"/>
              </w:rPr>
              <w:t>30</w:t>
            </w:r>
          </w:p>
        </w:tc>
      </w:tr>
      <w:tr w:rsidR="00FE7354" w:rsidRPr="00655ECE" w14:paraId="4252646B" w14:textId="77777777" w:rsidTr="00FE7354">
        <w:trPr>
          <w:trHeight w:val="812"/>
        </w:trPr>
        <w:tc>
          <w:tcPr>
            <w:tcW w:w="571" w:type="dxa"/>
            <w:tcBorders>
              <w:top w:val="single" w:sz="4" w:space="0" w:color="auto"/>
              <w:left w:val="single" w:sz="4" w:space="0" w:color="auto"/>
              <w:bottom w:val="single" w:sz="4" w:space="0" w:color="auto"/>
              <w:right w:val="single" w:sz="4" w:space="0" w:color="auto"/>
            </w:tcBorders>
          </w:tcPr>
          <w:p w14:paraId="70142ECB" w14:textId="77777777" w:rsidR="00FE7354" w:rsidRPr="00655ECE" w:rsidRDefault="00FE7354" w:rsidP="00780B8A">
            <w:pPr>
              <w:tabs>
                <w:tab w:val="left" w:pos="720"/>
                <w:tab w:val="left" w:pos="1440"/>
                <w:tab w:val="right" w:leader="dot" w:pos="8640"/>
              </w:tabs>
              <w:ind w:left="284" w:hanging="284"/>
              <w:jc w:val="both"/>
              <w:rPr>
                <w:sz w:val="20"/>
                <w:szCs w:val="20"/>
                <w:lang w:val="en-GB"/>
              </w:rPr>
            </w:pPr>
            <w:r w:rsidRPr="00655ECE">
              <w:rPr>
                <w:sz w:val="20"/>
                <w:szCs w:val="20"/>
                <w:lang w:val="en-GB"/>
              </w:rPr>
              <w:t>K4</w:t>
            </w:r>
          </w:p>
        </w:tc>
        <w:tc>
          <w:tcPr>
            <w:tcW w:w="1549" w:type="dxa"/>
            <w:tcBorders>
              <w:top w:val="single" w:sz="4" w:space="0" w:color="auto"/>
              <w:left w:val="single" w:sz="4" w:space="0" w:color="auto"/>
              <w:bottom w:val="single" w:sz="4" w:space="0" w:color="auto"/>
              <w:right w:val="single" w:sz="4" w:space="0" w:color="auto"/>
            </w:tcBorders>
          </w:tcPr>
          <w:p w14:paraId="515426E5" w14:textId="77777777" w:rsidR="00FE7354" w:rsidRPr="00655ECE" w:rsidRDefault="00FE7354" w:rsidP="00780B8A">
            <w:pPr>
              <w:tabs>
                <w:tab w:val="left" w:pos="720"/>
                <w:tab w:val="left" w:pos="1440"/>
                <w:tab w:val="right" w:leader="dot" w:pos="8640"/>
              </w:tabs>
              <w:jc w:val="both"/>
              <w:rPr>
                <w:sz w:val="20"/>
                <w:szCs w:val="20"/>
                <w:lang w:val="en-GB"/>
              </w:rPr>
            </w:pPr>
            <w:r w:rsidRPr="00655ECE">
              <w:rPr>
                <w:i/>
                <w:sz w:val="20"/>
                <w:szCs w:val="20"/>
                <w:lang w:val="en-GB"/>
              </w:rPr>
              <w:t>Auditor (Procurement Specialist)</w:t>
            </w:r>
          </w:p>
        </w:tc>
        <w:tc>
          <w:tcPr>
            <w:tcW w:w="3409" w:type="dxa"/>
            <w:tcBorders>
              <w:top w:val="single" w:sz="4" w:space="0" w:color="auto"/>
              <w:left w:val="single" w:sz="4" w:space="0" w:color="auto"/>
              <w:bottom w:val="single" w:sz="4" w:space="0" w:color="auto"/>
              <w:right w:val="single" w:sz="4" w:space="0" w:color="auto"/>
            </w:tcBorders>
          </w:tcPr>
          <w:p w14:paraId="2464F07E" w14:textId="119B18BB" w:rsidR="00FE7354" w:rsidRPr="00655ECE" w:rsidRDefault="00FE7354" w:rsidP="00780B8A">
            <w:pPr>
              <w:tabs>
                <w:tab w:val="left" w:pos="0"/>
                <w:tab w:val="left" w:pos="720"/>
                <w:tab w:val="left" w:pos="1440"/>
                <w:tab w:val="right" w:leader="dot" w:pos="8640"/>
              </w:tabs>
              <w:jc w:val="both"/>
              <w:rPr>
                <w:sz w:val="20"/>
                <w:szCs w:val="20"/>
              </w:rPr>
            </w:pPr>
            <w:r w:rsidRPr="00655ECE">
              <w:rPr>
                <w:sz w:val="20"/>
                <w:szCs w:val="20"/>
              </w:rPr>
              <w:t>1)</w:t>
            </w:r>
            <w:r w:rsidR="00E17712">
              <w:rPr>
                <w:sz w:val="20"/>
                <w:szCs w:val="20"/>
              </w:rPr>
              <w:t xml:space="preserve"> </w:t>
            </w:r>
            <w:r w:rsidRPr="00655ECE">
              <w:rPr>
                <w:sz w:val="20"/>
                <w:szCs w:val="20"/>
              </w:rPr>
              <w:t>World Bank Procurement Regulations for IPF Borrowers (</w:t>
            </w:r>
            <w:r>
              <w:rPr>
                <w:sz w:val="20"/>
                <w:szCs w:val="20"/>
              </w:rPr>
              <w:t>November</w:t>
            </w:r>
            <w:r w:rsidRPr="00655ECE">
              <w:rPr>
                <w:sz w:val="20"/>
                <w:szCs w:val="20"/>
              </w:rPr>
              <w:t xml:space="preserve"> 20</w:t>
            </w:r>
            <w:r>
              <w:rPr>
                <w:sz w:val="20"/>
                <w:szCs w:val="20"/>
              </w:rPr>
              <w:t>20</w:t>
            </w:r>
            <w:r w:rsidRPr="00655ECE">
              <w:rPr>
                <w:sz w:val="20"/>
                <w:szCs w:val="20"/>
              </w:rPr>
              <w:t>), revised (</w:t>
            </w:r>
            <w:r>
              <w:rPr>
                <w:sz w:val="20"/>
                <w:szCs w:val="20"/>
              </w:rPr>
              <w:t>Sept</w:t>
            </w:r>
            <w:r w:rsidRPr="00655ECE">
              <w:rPr>
                <w:sz w:val="20"/>
                <w:szCs w:val="20"/>
              </w:rPr>
              <w:t>ember 20</w:t>
            </w:r>
            <w:r>
              <w:rPr>
                <w:sz w:val="20"/>
                <w:szCs w:val="20"/>
              </w:rPr>
              <w:t>23</w:t>
            </w:r>
            <w:r w:rsidRPr="00655ECE">
              <w:rPr>
                <w:sz w:val="20"/>
                <w:szCs w:val="20"/>
              </w:rPr>
              <w:t xml:space="preserve">); </w:t>
            </w:r>
          </w:p>
          <w:p w14:paraId="4F6AC852" w14:textId="4DC4CA8B" w:rsidR="00FE7354" w:rsidRPr="00186255" w:rsidRDefault="00FE7354" w:rsidP="00780B8A">
            <w:pPr>
              <w:tabs>
                <w:tab w:val="left" w:pos="0"/>
                <w:tab w:val="left" w:pos="720"/>
                <w:tab w:val="left" w:pos="1440"/>
                <w:tab w:val="right" w:leader="dot" w:pos="8640"/>
              </w:tabs>
              <w:jc w:val="both"/>
              <w:rPr>
                <w:sz w:val="20"/>
                <w:szCs w:val="20"/>
              </w:rPr>
            </w:pPr>
            <w:r w:rsidRPr="00655ECE">
              <w:rPr>
                <w:color w:val="000000" w:themeColor="text1"/>
                <w:sz w:val="20"/>
                <w:szCs w:val="20"/>
              </w:rPr>
              <w:t>2)</w:t>
            </w:r>
            <w:r w:rsidR="00E17712">
              <w:rPr>
                <w:color w:val="000000" w:themeColor="text1"/>
                <w:sz w:val="20"/>
                <w:szCs w:val="20"/>
              </w:rPr>
              <w:t xml:space="preserve"> </w:t>
            </w:r>
            <w:r w:rsidRPr="00655ECE">
              <w:rPr>
                <w:color w:val="000000" w:themeColor="text1"/>
                <w:sz w:val="20"/>
                <w:szCs w:val="20"/>
              </w:rPr>
              <w:t>Public Procurement Law of the Kyrgyz Republic dated April</w:t>
            </w:r>
            <w:r>
              <w:rPr>
                <w:color w:val="000000" w:themeColor="text1"/>
                <w:sz w:val="20"/>
                <w:szCs w:val="20"/>
              </w:rPr>
              <w:t xml:space="preserve"> 14</w:t>
            </w:r>
            <w:r w:rsidRPr="00655ECE">
              <w:rPr>
                <w:color w:val="000000" w:themeColor="text1"/>
                <w:sz w:val="20"/>
                <w:szCs w:val="20"/>
              </w:rPr>
              <w:t>, 20</w:t>
            </w:r>
            <w:r>
              <w:rPr>
                <w:color w:val="000000" w:themeColor="text1"/>
                <w:sz w:val="20"/>
                <w:szCs w:val="20"/>
              </w:rPr>
              <w:t>24</w:t>
            </w:r>
            <w:r w:rsidRPr="00655ECE">
              <w:rPr>
                <w:color w:val="000000" w:themeColor="text1"/>
                <w:sz w:val="20"/>
                <w:szCs w:val="20"/>
              </w:rPr>
              <w:t xml:space="preserve"> № 2</w:t>
            </w:r>
            <w:r>
              <w:rPr>
                <w:color w:val="000000" w:themeColor="text1"/>
                <w:sz w:val="20"/>
                <w:szCs w:val="20"/>
              </w:rPr>
              <w:t>7</w:t>
            </w:r>
            <w:r w:rsidRPr="00655ECE">
              <w:rPr>
                <w:color w:val="000000" w:themeColor="text1"/>
                <w:sz w:val="20"/>
                <w:szCs w:val="20"/>
              </w:rPr>
              <w:t xml:space="preserve"> (the “PPL”)</w:t>
            </w:r>
          </w:p>
        </w:tc>
        <w:tc>
          <w:tcPr>
            <w:tcW w:w="1847" w:type="dxa"/>
            <w:tcBorders>
              <w:top w:val="single" w:sz="4" w:space="0" w:color="auto"/>
              <w:left w:val="single" w:sz="4" w:space="0" w:color="auto"/>
              <w:bottom w:val="single" w:sz="4" w:space="0" w:color="auto"/>
              <w:right w:val="single" w:sz="4" w:space="0" w:color="auto"/>
            </w:tcBorders>
          </w:tcPr>
          <w:p w14:paraId="4E93D49E" w14:textId="77777777" w:rsidR="00FE7354" w:rsidRPr="00655ECE" w:rsidRDefault="00FE7354" w:rsidP="00780B8A">
            <w:pPr>
              <w:tabs>
                <w:tab w:val="left" w:pos="0"/>
                <w:tab w:val="left" w:pos="720"/>
                <w:tab w:val="left" w:pos="1440"/>
                <w:tab w:val="right" w:leader="dot" w:pos="8640"/>
              </w:tabs>
              <w:jc w:val="both"/>
              <w:rPr>
                <w:sz w:val="20"/>
                <w:szCs w:val="20"/>
              </w:rPr>
            </w:pPr>
            <w:r w:rsidRPr="00655ECE">
              <w:rPr>
                <w:sz w:val="20"/>
                <w:szCs w:val="20"/>
              </w:rPr>
              <w:t xml:space="preserve">Minimum 3 years of relevant project experience as procurement specialist in donor organization (preferably WB projects) </w:t>
            </w:r>
          </w:p>
        </w:tc>
        <w:tc>
          <w:tcPr>
            <w:tcW w:w="643" w:type="dxa"/>
            <w:tcBorders>
              <w:top w:val="single" w:sz="4" w:space="0" w:color="auto"/>
              <w:left w:val="single" w:sz="4" w:space="0" w:color="auto"/>
              <w:bottom w:val="single" w:sz="4" w:space="0" w:color="auto"/>
              <w:right w:val="single" w:sz="4" w:space="0" w:color="auto"/>
            </w:tcBorders>
          </w:tcPr>
          <w:p w14:paraId="1850A1A5" w14:textId="77777777" w:rsidR="00FE7354" w:rsidRPr="00655ECE" w:rsidRDefault="00FE7354" w:rsidP="00780B8A">
            <w:pPr>
              <w:ind w:left="284" w:hanging="284"/>
              <w:jc w:val="both"/>
              <w:rPr>
                <w:sz w:val="20"/>
                <w:szCs w:val="20"/>
              </w:rPr>
            </w:pPr>
            <w:r w:rsidRPr="00655ECE">
              <w:rPr>
                <w:sz w:val="20"/>
                <w:szCs w:val="20"/>
              </w:rPr>
              <w:t>30</w:t>
            </w:r>
          </w:p>
        </w:tc>
        <w:tc>
          <w:tcPr>
            <w:tcW w:w="621" w:type="dxa"/>
            <w:tcBorders>
              <w:top w:val="single" w:sz="4" w:space="0" w:color="auto"/>
              <w:left w:val="single" w:sz="4" w:space="0" w:color="auto"/>
              <w:bottom w:val="single" w:sz="4" w:space="0" w:color="auto"/>
              <w:right w:val="single" w:sz="4" w:space="0" w:color="auto"/>
            </w:tcBorders>
          </w:tcPr>
          <w:p w14:paraId="6855EE29" w14:textId="77777777" w:rsidR="00FE7354" w:rsidRPr="00655ECE" w:rsidRDefault="00FE7354" w:rsidP="00780B8A">
            <w:pPr>
              <w:tabs>
                <w:tab w:val="left" w:pos="360"/>
              </w:tabs>
              <w:ind w:left="284" w:hanging="284"/>
              <w:jc w:val="both"/>
              <w:rPr>
                <w:sz w:val="20"/>
                <w:szCs w:val="20"/>
              </w:rPr>
            </w:pPr>
            <w:r w:rsidRPr="00655ECE">
              <w:rPr>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439E9614" w14:textId="77777777" w:rsidR="00FE7354" w:rsidRPr="00655ECE" w:rsidRDefault="00FE7354" w:rsidP="00780B8A">
            <w:pPr>
              <w:tabs>
                <w:tab w:val="left" w:pos="360"/>
              </w:tabs>
              <w:ind w:left="284" w:hanging="284"/>
              <w:jc w:val="both"/>
              <w:rPr>
                <w:sz w:val="20"/>
                <w:szCs w:val="20"/>
              </w:rPr>
            </w:pPr>
            <w:r w:rsidRPr="00655ECE">
              <w:rPr>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35F0486B" w14:textId="77777777" w:rsidR="00FE7354" w:rsidRPr="00655ECE" w:rsidRDefault="00FE7354" w:rsidP="00780B8A">
            <w:pPr>
              <w:tabs>
                <w:tab w:val="left" w:pos="360"/>
              </w:tabs>
              <w:ind w:left="284" w:hanging="284"/>
              <w:jc w:val="both"/>
              <w:rPr>
                <w:sz w:val="20"/>
                <w:szCs w:val="20"/>
              </w:rPr>
            </w:pPr>
            <w:r w:rsidRPr="00655ECE">
              <w:rPr>
                <w:sz w:val="20"/>
                <w:szCs w:val="20"/>
              </w:rPr>
              <w:t>30</w:t>
            </w:r>
          </w:p>
        </w:tc>
      </w:tr>
    </w:tbl>
    <w:p w14:paraId="4C1973D1" w14:textId="53D35193" w:rsidR="00B72FD1" w:rsidRPr="00DF26AC" w:rsidRDefault="00B72FD1" w:rsidP="00DF26AC">
      <w:pPr>
        <w:spacing w:after="240" w:line="276" w:lineRule="auto"/>
        <w:jc w:val="both"/>
        <w:rPr>
          <w:lang w:val="en-US"/>
        </w:rPr>
      </w:pPr>
    </w:p>
    <w:sectPr w:rsidR="00B72FD1" w:rsidRPr="00DF26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DE69E" w14:textId="77777777" w:rsidR="00A9226E" w:rsidRDefault="00A9226E" w:rsidP="007F4725">
      <w:r>
        <w:separator/>
      </w:r>
    </w:p>
  </w:endnote>
  <w:endnote w:type="continuationSeparator" w:id="0">
    <w:p w14:paraId="216325B9" w14:textId="77777777" w:rsidR="00A9226E" w:rsidRDefault="00A9226E" w:rsidP="007F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0AC6E" w14:textId="77777777" w:rsidR="00A9226E" w:rsidRDefault="00A9226E" w:rsidP="007F4725">
      <w:r>
        <w:separator/>
      </w:r>
    </w:p>
  </w:footnote>
  <w:footnote w:type="continuationSeparator" w:id="0">
    <w:p w14:paraId="24EE9833" w14:textId="77777777" w:rsidR="00A9226E" w:rsidRDefault="00A9226E" w:rsidP="007F4725">
      <w:r>
        <w:continuationSeparator/>
      </w:r>
    </w:p>
  </w:footnote>
  <w:footnote w:id="1">
    <w:p w14:paraId="40EF9E03" w14:textId="77777777" w:rsidR="00333B65" w:rsidRPr="00463915" w:rsidRDefault="00333B65" w:rsidP="00333B65">
      <w:pPr>
        <w:pStyle w:val="af1"/>
        <w:jc w:val="both"/>
      </w:pPr>
      <w:r w:rsidRPr="00463915">
        <w:rPr>
          <w:rStyle w:val="af3"/>
        </w:rPr>
        <w:footnoteRef/>
      </w:r>
      <w:r w:rsidRPr="00463915">
        <w:t xml:space="preserve"> Depending on the complexity of procurement activities, the auditor may consider involving technical experts during the audit engagement</w:t>
      </w:r>
      <w:r>
        <w:t>, in compliance</w:t>
      </w:r>
      <w:r w:rsidRPr="00463915">
        <w:t xml:space="preserve"> with provisions of </w:t>
      </w:r>
      <w:r w:rsidRPr="002E4E30">
        <w:t>Interna</w:t>
      </w:r>
      <w:r>
        <w:t>tional Standard on Auditing 620</w:t>
      </w:r>
      <w:r w:rsidRPr="00463915">
        <w:t>. Consideration of using of the work of experts should be brought to the early attention of the borrower and the World Bank for mutual agreement and appropriate guidance.</w:t>
      </w:r>
    </w:p>
  </w:footnote>
  <w:footnote w:id="2">
    <w:p w14:paraId="6DE33356" w14:textId="77777777" w:rsidR="00FE7354" w:rsidRDefault="00FE7354" w:rsidP="00DF26AC">
      <w:pPr>
        <w:pStyle w:val="af1"/>
      </w:pPr>
      <w:r>
        <w:rPr>
          <w:rStyle w:val="af3"/>
          <w:rFonts w:eastAsiaTheme="majorEastAsia"/>
        </w:rPr>
        <w:footnoteRef/>
      </w:r>
      <w:r>
        <w:t xml:space="preserve"> </w:t>
      </w:r>
      <w:r w:rsidRPr="0098473A">
        <w:t>In local companies, positions may be called differently. In this case, it is necessary to determine the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5527B"/>
    <w:multiLevelType w:val="hybridMultilevel"/>
    <w:tmpl w:val="FCA6151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155C171F"/>
    <w:multiLevelType w:val="hybridMultilevel"/>
    <w:tmpl w:val="07E2A430"/>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B75E3A1C">
      <w:start w:val="1"/>
      <w:numFmt w:val="lowerLetter"/>
      <w:lvlText w:val="(%2)"/>
      <w:lvlJc w:val="left"/>
      <w:pPr>
        <w:tabs>
          <w:tab w:val="num" w:pos="1440"/>
        </w:tabs>
        <w:ind w:left="1440" w:hanging="360"/>
      </w:pPr>
      <w:rPr>
        <w:rFonts w:hint="default"/>
        <w:i w:val="0"/>
        <w:color w:val="auto"/>
        <w:sz w:val="24"/>
        <w:szCs w:val="24"/>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BA3C74"/>
    <w:multiLevelType w:val="hybridMultilevel"/>
    <w:tmpl w:val="FDB4915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1E3F12E2"/>
    <w:multiLevelType w:val="hybridMultilevel"/>
    <w:tmpl w:val="2D8A71D6"/>
    <w:lvl w:ilvl="0" w:tplc="ABC2B5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4A0327"/>
    <w:multiLevelType w:val="hybridMultilevel"/>
    <w:tmpl w:val="1564EFA6"/>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E003CB9"/>
    <w:multiLevelType w:val="hybridMultilevel"/>
    <w:tmpl w:val="ADA4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E3934"/>
    <w:multiLevelType w:val="hybridMultilevel"/>
    <w:tmpl w:val="D9BEF380"/>
    <w:lvl w:ilvl="0" w:tplc="2000000F">
      <w:start w:val="1"/>
      <w:numFmt w:val="decimal"/>
      <w:lvlText w:val="%1."/>
      <w:lvlJc w:val="left"/>
      <w:pPr>
        <w:tabs>
          <w:tab w:val="num" w:pos="1800"/>
        </w:tabs>
        <w:ind w:left="1800" w:hanging="72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45575D15"/>
    <w:multiLevelType w:val="hybridMultilevel"/>
    <w:tmpl w:val="1564EFA6"/>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C995BA2"/>
    <w:multiLevelType w:val="hybridMultilevel"/>
    <w:tmpl w:val="2D84A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142A24"/>
    <w:multiLevelType w:val="hybridMultilevel"/>
    <w:tmpl w:val="DA02F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E23F2A"/>
    <w:multiLevelType w:val="hybridMultilevel"/>
    <w:tmpl w:val="6DCC92CE"/>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89A4DFC"/>
    <w:multiLevelType w:val="hybridMultilevel"/>
    <w:tmpl w:val="EE70D7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2F2EC3"/>
    <w:multiLevelType w:val="hybridMultilevel"/>
    <w:tmpl w:val="42EEEF60"/>
    <w:lvl w:ilvl="0" w:tplc="2000000F">
      <w:start w:val="1"/>
      <w:numFmt w:val="decimal"/>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6880C83"/>
    <w:multiLevelType w:val="hybridMultilevel"/>
    <w:tmpl w:val="7B5ACE8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77FB2B58"/>
    <w:multiLevelType w:val="hybridMultilevel"/>
    <w:tmpl w:val="3632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6137A"/>
    <w:multiLevelType w:val="hybridMultilevel"/>
    <w:tmpl w:val="A7A62C9C"/>
    <w:lvl w:ilvl="0" w:tplc="B75E3A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35401C"/>
    <w:multiLevelType w:val="hybridMultilevel"/>
    <w:tmpl w:val="5CBC072C"/>
    <w:lvl w:ilvl="0" w:tplc="6C36CCD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AE128B"/>
    <w:multiLevelType w:val="hybridMultilevel"/>
    <w:tmpl w:val="9FAC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6187346">
    <w:abstractNumId w:val="12"/>
  </w:num>
  <w:num w:numId="2" w16cid:durableId="10187730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21911">
    <w:abstractNumId w:val="2"/>
  </w:num>
  <w:num w:numId="4" w16cid:durableId="369184334">
    <w:abstractNumId w:val="13"/>
  </w:num>
  <w:num w:numId="5" w16cid:durableId="373116435">
    <w:abstractNumId w:val="12"/>
  </w:num>
  <w:num w:numId="6" w16cid:durableId="842621453">
    <w:abstractNumId w:val="17"/>
  </w:num>
  <w:num w:numId="7" w16cid:durableId="1715810051">
    <w:abstractNumId w:val="10"/>
  </w:num>
  <w:num w:numId="8" w16cid:durableId="1722174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0096291">
    <w:abstractNumId w:val="6"/>
  </w:num>
  <w:num w:numId="10" w16cid:durableId="1276987950">
    <w:abstractNumId w:val="3"/>
  </w:num>
  <w:num w:numId="11" w16cid:durableId="1713462064">
    <w:abstractNumId w:val="0"/>
  </w:num>
  <w:num w:numId="12" w16cid:durableId="1087382729">
    <w:abstractNumId w:val="7"/>
  </w:num>
  <w:num w:numId="13" w16cid:durableId="1526022363">
    <w:abstractNumId w:val="11"/>
  </w:num>
  <w:num w:numId="14" w16cid:durableId="119728087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366507">
    <w:abstractNumId w:val="4"/>
  </w:num>
  <w:num w:numId="16" w16cid:durableId="1655259975">
    <w:abstractNumId w:val="8"/>
  </w:num>
  <w:num w:numId="17" w16cid:durableId="1561595099">
    <w:abstractNumId w:val="9"/>
  </w:num>
  <w:num w:numId="18" w16cid:durableId="2054578634">
    <w:abstractNumId w:val="1"/>
  </w:num>
  <w:num w:numId="19" w16cid:durableId="1710183672">
    <w:abstractNumId w:val="14"/>
  </w:num>
  <w:num w:numId="20" w16cid:durableId="1101484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BF"/>
    <w:rsid w:val="00003CF9"/>
    <w:rsid w:val="0001639C"/>
    <w:rsid w:val="0003465B"/>
    <w:rsid w:val="00044A08"/>
    <w:rsid w:val="00045CB6"/>
    <w:rsid w:val="000F62A5"/>
    <w:rsid w:val="000F71FF"/>
    <w:rsid w:val="0010000A"/>
    <w:rsid w:val="001218E4"/>
    <w:rsid w:val="0012251B"/>
    <w:rsid w:val="00134E2D"/>
    <w:rsid w:val="001444A1"/>
    <w:rsid w:val="00157EBB"/>
    <w:rsid w:val="001730DF"/>
    <w:rsid w:val="001A0747"/>
    <w:rsid w:val="001B72B0"/>
    <w:rsid w:val="001C15BC"/>
    <w:rsid w:val="001C3667"/>
    <w:rsid w:val="001C7338"/>
    <w:rsid w:val="001E6CE4"/>
    <w:rsid w:val="001F18C8"/>
    <w:rsid w:val="001F69E2"/>
    <w:rsid w:val="0023577F"/>
    <w:rsid w:val="0024071C"/>
    <w:rsid w:val="00266341"/>
    <w:rsid w:val="00274545"/>
    <w:rsid w:val="002937DE"/>
    <w:rsid w:val="002B4668"/>
    <w:rsid w:val="002D5929"/>
    <w:rsid w:val="002D6113"/>
    <w:rsid w:val="002E7CDF"/>
    <w:rsid w:val="0031727E"/>
    <w:rsid w:val="00333B65"/>
    <w:rsid w:val="00354D9F"/>
    <w:rsid w:val="0038655A"/>
    <w:rsid w:val="003A5B53"/>
    <w:rsid w:val="00447280"/>
    <w:rsid w:val="00462443"/>
    <w:rsid w:val="00472C81"/>
    <w:rsid w:val="004B464F"/>
    <w:rsid w:val="005337DC"/>
    <w:rsid w:val="00547CA4"/>
    <w:rsid w:val="00582B04"/>
    <w:rsid w:val="005F49CA"/>
    <w:rsid w:val="006175CF"/>
    <w:rsid w:val="0068546F"/>
    <w:rsid w:val="00686B29"/>
    <w:rsid w:val="006971CB"/>
    <w:rsid w:val="006A2846"/>
    <w:rsid w:val="006D1795"/>
    <w:rsid w:val="006E1E7E"/>
    <w:rsid w:val="00750FA9"/>
    <w:rsid w:val="00762B32"/>
    <w:rsid w:val="00775235"/>
    <w:rsid w:val="00782A8E"/>
    <w:rsid w:val="0079229D"/>
    <w:rsid w:val="007D5616"/>
    <w:rsid w:val="007F17D1"/>
    <w:rsid w:val="007F4725"/>
    <w:rsid w:val="008039A3"/>
    <w:rsid w:val="008302C6"/>
    <w:rsid w:val="00863DBD"/>
    <w:rsid w:val="00872B74"/>
    <w:rsid w:val="008D0A24"/>
    <w:rsid w:val="008F3078"/>
    <w:rsid w:val="008F72C5"/>
    <w:rsid w:val="00984B84"/>
    <w:rsid w:val="00985F96"/>
    <w:rsid w:val="009C047C"/>
    <w:rsid w:val="009D7AB5"/>
    <w:rsid w:val="009E59AB"/>
    <w:rsid w:val="009F5993"/>
    <w:rsid w:val="00A27B09"/>
    <w:rsid w:val="00A30E5B"/>
    <w:rsid w:val="00A326C7"/>
    <w:rsid w:val="00A3679B"/>
    <w:rsid w:val="00A368D4"/>
    <w:rsid w:val="00A64728"/>
    <w:rsid w:val="00A72081"/>
    <w:rsid w:val="00A9226E"/>
    <w:rsid w:val="00AB69BE"/>
    <w:rsid w:val="00AE6D59"/>
    <w:rsid w:val="00B112F7"/>
    <w:rsid w:val="00B3679A"/>
    <w:rsid w:val="00B37E70"/>
    <w:rsid w:val="00B633BF"/>
    <w:rsid w:val="00B71732"/>
    <w:rsid w:val="00B72FD1"/>
    <w:rsid w:val="00B83731"/>
    <w:rsid w:val="00BD1542"/>
    <w:rsid w:val="00C05810"/>
    <w:rsid w:val="00C1529A"/>
    <w:rsid w:val="00C3577F"/>
    <w:rsid w:val="00C83AA5"/>
    <w:rsid w:val="00CB51CA"/>
    <w:rsid w:val="00CD6ECA"/>
    <w:rsid w:val="00CF67F1"/>
    <w:rsid w:val="00D42CF0"/>
    <w:rsid w:val="00D57796"/>
    <w:rsid w:val="00D74BBD"/>
    <w:rsid w:val="00DC1E45"/>
    <w:rsid w:val="00DF26AC"/>
    <w:rsid w:val="00E17712"/>
    <w:rsid w:val="00E70219"/>
    <w:rsid w:val="00EA0111"/>
    <w:rsid w:val="00EA61B2"/>
    <w:rsid w:val="00EB7998"/>
    <w:rsid w:val="00EF4C6E"/>
    <w:rsid w:val="00EF6931"/>
    <w:rsid w:val="00F02780"/>
    <w:rsid w:val="00F20805"/>
    <w:rsid w:val="00F4061F"/>
    <w:rsid w:val="00F46B68"/>
    <w:rsid w:val="00FA7288"/>
    <w:rsid w:val="00FE73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9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E45"/>
    <w:pPr>
      <w:spacing w:after="0" w:line="240" w:lineRule="auto"/>
    </w:pPr>
    <w:rPr>
      <w:rFonts w:ascii="Times New Roman" w:eastAsia="Times New Roman" w:hAnsi="Times New Roman" w:cs="Times New Roman"/>
      <w:sz w:val="24"/>
      <w:szCs w:val="24"/>
      <w:lang w:eastAsia="en-US"/>
    </w:rPr>
  </w:style>
  <w:style w:type="paragraph" w:styleId="1">
    <w:name w:val="heading 1"/>
    <w:basedOn w:val="a"/>
    <w:next w:val="a"/>
    <w:link w:val="10"/>
    <w:uiPriority w:val="9"/>
    <w:qFormat/>
    <w:rsid w:val="00A368D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semiHidden/>
    <w:unhideWhenUsed/>
    <w:rsid w:val="00DC1E45"/>
    <w:rPr>
      <w:rFonts w:ascii="Courier New" w:eastAsia="Times New Roman" w:hAnsi="Courier New" w:cs="Courier New" w:hint="default"/>
      <w:sz w:val="20"/>
      <w:szCs w:val="20"/>
    </w:rPr>
  </w:style>
  <w:style w:type="character" w:customStyle="1" w:styleId="a3">
    <w:name w:val="Абзац списка Знак"/>
    <w:aliases w:val="Bullets Знак,List Paragraph1 Знак,Akapit z listą BS Знак,List Paragraph (numbered (a)) Знак,List_Paragraph Знак,Multilevel para_II Знак,MC Paragraphe Liste Знак,Colorful List - Accent 11 Знак,List Bullet-OpsManual Знак,References Знак"/>
    <w:link w:val="a4"/>
    <w:uiPriority w:val="34"/>
    <w:qFormat/>
    <w:locked/>
    <w:rsid w:val="00DC1E45"/>
    <w:rPr>
      <w:rFonts w:ascii="Times New Roman" w:eastAsia="Times New Roman" w:hAnsi="Times New Roman" w:cs="Times New Roman"/>
    </w:rPr>
  </w:style>
  <w:style w:type="paragraph" w:styleId="a4">
    <w:name w:val="List Paragraph"/>
    <w:aliases w:val="Bullets,List Paragraph1,Akapit z listą BS,List Paragraph (numbered (a)),List_Paragraph,Multilevel para_II,MC Paragraphe Liste,Colorful List - Accent 11,List Bullet-OpsManual,References,Title Style 1,Normal 2,Main numbered paragraph,Body"/>
    <w:basedOn w:val="a"/>
    <w:link w:val="a3"/>
    <w:uiPriority w:val="34"/>
    <w:qFormat/>
    <w:rsid w:val="00DC1E45"/>
    <w:pPr>
      <w:ind w:left="720"/>
      <w:contextualSpacing/>
    </w:pPr>
    <w:rPr>
      <w:sz w:val="22"/>
      <w:szCs w:val="22"/>
      <w:lang w:eastAsia="zh-CN"/>
    </w:rPr>
  </w:style>
  <w:style w:type="paragraph" w:customStyle="1" w:styleId="Default">
    <w:name w:val="Default"/>
    <w:rsid w:val="00354D9F"/>
    <w:pPr>
      <w:autoSpaceDE w:val="0"/>
      <w:autoSpaceDN w:val="0"/>
      <w:adjustRightInd w:val="0"/>
      <w:spacing w:after="0" w:line="240" w:lineRule="auto"/>
    </w:pPr>
    <w:rPr>
      <w:rFonts w:ascii="Calibri" w:eastAsiaTheme="minorHAnsi" w:hAnsi="Calibri" w:cs="Calibri"/>
      <w:color w:val="000000"/>
      <w:sz w:val="24"/>
      <w:szCs w:val="24"/>
      <w:lang w:val="en-US" w:eastAsia="en-US" w:bidi="hi-IN"/>
    </w:rPr>
  </w:style>
  <w:style w:type="paragraph" w:styleId="a5">
    <w:name w:val="Revision"/>
    <w:hidden/>
    <w:uiPriority w:val="99"/>
    <w:semiHidden/>
    <w:rsid w:val="00C3577F"/>
    <w:pPr>
      <w:spacing w:after="0" w:line="240" w:lineRule="auto"/>
    </w:pPr>
    <w:rPr>
      <w:rFonts w:ascii="Times New Roman" w:eastAsia="Times New Roman" w:hAnsi="Times New Roman" w:cs="Times New Roman"/>
      <w:sz w:val="24"/>
      <w:szCs w:val="24"/>
      <w:lang w:eastAsia="en-US"/>
    </w:rPr>
  </w:style>
  <w:style w:type="character" w:styleId="a6">
    <w:name w:val="annotation reference"/>
    <w:basedOn w:val="a0"/>
    <w:uiPriority w:val="99"/>
    <w:semiHidden/>
    <w:unhideWhenUsed/>
    <w:rsid w:val="00C3577F"/>
    <w:rPr>
      <w:sz w:val="16"/>
      <w:szCs w:val="16"/>
    </w:rPr>
  </w:style>
  <w:style w:type="paragraph" w:styleId="a7">
    <w:name w:val="annotation text"/>
    <w:basedOn w:val="a"/>
    <w:link w:val="a8"/>
    <w:uiPriority w:val="99"/>
    <w:unhideWhenUsed/>
    <w:rsid w:val="00C3577F"/>
    <w:rPr>
      <w:sz w:val="20"/>
      <w:szCs w:val="20"/>
    </w:rPr>
  </w:style>
  <w:style w:type="character" w:customStyle="1" w:styleId="a8">
    <w:name w:val="Текст примечания Знак"/>
    <w:basedOn w:val="a0"/>
    <w:link w:val="a7"/>
    <w:uiPriority w:val="99"/>
    <w:rsid w:val="00C3577F"/>
    <w:rPr>
      <w:rFonts w:ascii="Times New Roman" w:eastAsia="Times New Roman" w:hAnsi="Times New Roman" w:cs="Times New Roman"/>
      <w:sz w:val="20"/>
      <w:szCs w:val="20"/>
      <w:lang w:eastAsia="en-US"/>
    </w:rPr>
  </w:style>
  <w:style w:type="paragraph" w:styleId="a9">
    <w:name w:val="annotation subject"/>
    <w:basedOn w:val="a7"/>
    <w:next w:val="a7"/>
    <w:link w:val="aa"/>
    <w:uiPriority w:val="99"/>
    <w:semiHidden/>
    <w:unhideWhenUsed/>
    <w:rsid w:val="00C3577F"/>
    <w:rPr>
      <w:b/>
      <w:bCs/>
    </w:rPr>
  </w:style>
  <w:style w:type="character" w:customStyle="1" w:styleId="aa">
    <w:name w:val="Тема примечания Знак"/>
    <w:basedOn w:val="a8"/>
    <w:link w:val="a9"/>
    <w:uiPriority w:val="99"/>
    <w:semiHidden/>
    <w:rsid w:val="00C3577F"/>
    <w:rPr>
      <w:rFonts w:ascii="Times New Roman" w:eastAsia="Times New Roman" w:hAnsi="Times New Roman" w:cs="Times New Roman"/>
      <w:b/>
      <w:bCs/>
      <w:sz w:val="20"/>
      <w:szCs w:val="20"/>
      <w:lang w:eastAsia="en-US"/>
    </w:rPr>
  </w:style>
  <w:style w:type="paragraph" w:styleId="ab">
    <w:name w:val="header"/>
    <w:basedOn w:val="a"/>
    <w:link w:val="ac"/>
    <w:uiPriority w:val="99"/>
    <w:unhideWhenUsed/>
    <w:rsid w:val="007F4725"/>
    <w:pPr>
      <w:tabs>
        <w:tab w:val="center" w:pos="4680"/>
        <w:tab w:val="right" w:pos="9360"/>
      </w:tabs>
    </w:pPr>
  </w:style>
  <w:style w:type="character" w:customStyle="1" w:styleId="ac">
    <w:name w:val="Верхний колонтитул Знак"/>
    <w:basedOn w:val="a0"/>
    <w:link w:val="ab"/>
    <w:uiPriority w:val="99"/>
    <w:rsid w:val="007F4725"/>
    <w:rPr>
      <w:rFonts w:ascii="Times New Roman" w:eastAsia="Times New Roman" w:hAnsi="Times New Roman" w:cs="Times New Roman"/>
      <w:sz w:val="24"/>
      <w:szCs w:val="24"/>
      <w:lang w:eastAsia="en-US"/>
    </w:rPr>
  </w:style>
  <w:style w:type="paragraph" w:styleId="ad">
    <w:name w:val="footer"/>
    <w:basedOn w:val="a"/>
    <w:link w:val="ae"/>
    <w:uiPriority w:val="99"/>
    <w:unhideWhenUsed/>
    <w:rsid w:val="007F4725"/>
    <w:pPr>
      <w:tabs>
        <w:tab w:val="center" w:pos="4680"/>
        <w:tab w:val="right" w:pos="9360"/>
      </w:tabs>
    </w:pPr>
  </w:style>
  <w:style w:type="character" w:customStyle="1" w:styleId="ae">
    <w:name w:val="Нижний колонтитул Знак"/>
    <w:basedOn w:val="a0"/>
    <w:link w:val="ad"/>
    <w:uiPriority w:val="99"/>
    <w:rsid w:val="007F4725"/>
    <w:rPr>
      <w:rFonts w:ascii="Times New Roman" w:eastAsia="Times New Roman" w:hAnsi="Times New Roman" w:cs="Times New Roman"/>
      <w:sz w:val="24"/>
      <w:szCs w:val="24"/>
      <w:lang w:eastAsia="en-US"/>
    </w:rPr>
  </w:style>
  <w:style w:type="character" w:styleId="af">
    <w:name w:val="Hyperlink"/>
    <w:basedOn w:val="a0"/>
    <w:uiPriority w:val="99"/>
    <w:unhideWhenUsed/>
    <w:rsid w:val="00333B65"/>
    <w:rPr>
      <w:color w:val="0000FF" w:themeColor="hyperlink"/>
      <w:u w:val="single"/>
    </w:rPr>
  </w:style>
  <w:style w:type="character" w:styleId="af0">
    <w:name w:val="Unresolved Mention"/>
    <w:basedOn w:val="a0"/>
    <w:uiPriority w:val="99"/>
    <w:semiHidden/>
    <w:unhideWhenUsed/>
    <w:rsid w:val="00333B65"/>
    <w:rPr>
      <w:color w:val="605E5C"/>
      <w:shd w:val="clear" w:color="auto" w:fill="E1DFDD"/>
    </w:rPr>
  </w:style>
  <w:style w:type="paragraph" w:styleId="af1">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
    <w:link w:val="af2"/>
    <w:uiPriority w:val="99"/>
    <w:qFormat/>
    <w:rsid w:val="00333B65"/>
    <w:rPr>
      <w:sz w:val="20"/>
      <w:szCs w:val="20"/>
      <w:lang w:val="en-US"/>
    </w:rPr>
  </w:style>
  <w:style w:type="character" w:customStyle="1" w:styleId="af2">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basedOn w:val="a0"/>
    <w:link w:val="af1"/>
    <w:uiPriority w:val="99"/>
    <w:rsid w:val="00333B65"/>
    <w:rPr>
      <w:rFonts w:ascii="Times New Roman" w:eastAsia="Times New Roman" w:hAnsi="Times New Roman" w:cs="Times New Roman"/>
      <w:sz w:val="20"/>
      <w:szCs w:val="20"/>
      <w:lang w:val="en-US" w:eastAsia="en-US"/>
    </w:rPr>
  </w:style>
  <w:style w:type="character" w:styleId="af3">
    <w:name w:val="footnote reference"/>
    <w:aliases w:val="ftref,16 Point,Footnote Reference Number,Footnote Reference_LVL6,Footnote Reference_LVL61,Footnote Reference_LVL62,Footnote Reference_LVL63,Footnote Reference_LVL64,Style 6,Superscript 6 Point,fr,referencia nota al pie"/>
    <w:basedOn w:val="a0"/>
    <w:link w:val="FNRefeCharChar"/>
    <w:uiPriority w:val="99"/>
    <w:qFormat/>
    <w:rsid w:val="00333B65"/>
    <w:rPr>
      <w:vertAlign w:val="superscript"/>
    </w:rPr>
  </w:style>
  <w:style w:type="paragraph" w:customStyle="1" w:styleId="FNRefeCharChar">
    <w:name w:val="FNRefe Char Char"/>
    <w:aliases w:val=" BVI fnr Car Car Car Car Char Char Char Char Char, BVI fnr Car Car Char Char Char, BVI fnr Char Char Char,BVI fnr Car Car Car Car Char Char Char Char Char,BVI fnr Car Car Char Char Char,BVI fnr Car Char Char Char,BVI fnr Char Char"/>
    <w:basedOn w:val="a"/>
    <w:link w:val="af3"/>
    <w:uiPriority w:val="99"/>
    <w:rsid w:val="00DF26AC"/>
    <w:pPr>
      <w:spacing w:after="160" w:line="240" w:lineRule="exact"/>
    </w:pPr>
    <w:rPr>
      <w:rFonts w:asciiTheme="minorHAnsi" w:eastAsiaTheme="minorEastAsia" w:hAnsiTheme="minorHAnsi" w:cstheme="minorBidi"/>
      <w:sz w:val="22"/>
      <w:szCs w:val="22"/>
      <w:vertAlign w:val="superscript"/>
      <w:lang w:eastAsia="zh-CN"/>
    </w:rPr>
  </w:style>
  <w:style w:type="paragraph" w:styleId="af4">
    <w:name w:val="Title"/>
    <w:basedOn w:val="a"/>
    <w:next w:val="a"/>
    <w:link w:val="af5"/>
    <w:uiPriority w:val="10"/>
    <w:qFormat/>
    <w:rsid w:val="00A368D4"/>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A368D4"/>
    <w:rPr>
      <w:rFonts w:asciiTheme="majorHAnsi" w:eastAsiaTheme="majorEastAsia" w:hAnsiTheme="majorHAnsi" w:cstheme="majorBidi"/>
      <w:spacing w:val="-10"/>
      <w:kern w:val="28"/>
      <w:sz w:val="56"/>
      <w:szCs w:val="56"/>
      <w:lang w:eastAsia="en-US"/>
    </w:rPr>
  </w:style>
  <w:style w:type="paragraph" w:styleId="af6">
    <w:name w:val="Subtitle"/>
    <w:basedOn w:val="a"/>
    <w:next w:val="a"/>
    <w:link w:val="af7"/>
    <w:uiPriority w:val="11"/>
    <w:qFormat/>
    <w:rsid w:val="00A368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Подзаголовок Знак"/>
    <w:basedOn w:val="a0"/>
    <w:link w:val="af6"/>
    <w:uiPriority w:val="11"/>
    <w:rsid w:val="00A368D4"/>
    <w:rPr>
      <w:color w:val="5A5A5A" w:themeColor="text1" w:themeTint="A5"/>
      <w:spacing w:val="15"/>
      <w:lang w:eastAsia="en-US"/>
    </w:rPr>
  </w:style>
  <w:style w:type="character" w:customStyle="1" w:styleId="10">
    <w:name w:val="Заголовок 1 Знак"/>
    <w:basedOn w:val="a0"/>
    <w:link w:val="1"/>
    <w:uiPriority w:val="9"/>
    <w:rsid w:val="00A368D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1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upki.gov.kg/" TargetMode="External"/><Relationship Id="rId18" Type="http://schemas.openxmlformats.org/officeDocument/2006/relationships/hyperlink" Target="http://www.worldbank.org/en/projects-operations/products-and-services/procurement-projects-progra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bank.org/en/projects-operations/products-and-services/procurement-projects-programs" TargetMode="External"/><Relationship Id="rId17" Type="http://schemas.openxmlformats.org/officeDocument/2006/relationships/hyperlink" Target="http://siteresources.worldbank.org/LOANS/Resources/Disbursement09.pdf" TargetMode="External"/><Relationship Id="rId2" Type="http://schemas.openxmlformats.org/officeDocument/2006/relationships/customXml" Target="../customXml/item2.xml"/><Relationship Id="rId16" Type="http://schemas.openxmlformats.org/officeDocument/2006/relationships/hyperlink" Target="https://siteresources.worldbank.org/PROJECTS/Resources/DisGuideE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asb.org/" TargetMode="External"/><Relationship Id="rId5" Type="http://schemas.openxmlformats.org/officeDocument/2006/relationships/numbering" Target="numbering.xml"/><Relationship Id="rId15" Type="http://schemas.openxmlformats.org/officeDocument/2006/relationships/hyperlink" Target="https://www.ipsasb.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upki.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3CF28-049D-4D34-B1EF-448FC5013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633C6-ED5E-4AB1-A969-BB5233A5BB1B}">
  <ds:schemaRefs>
    <ds:schemaRef ds:uri="http://schemas.microsoft.com/sharepoint/v3/contenttype/forms"/>
  </ds:schemaRefs>
</ds:datastoreItem>
</file>

<file path=customXml/itemProps3.xml><?xml version="1.0" encoding="utf-8"?>
<ds:datastoreItem xmlns:ds="http://schemas.openxmlformats.org/officeDocument/2006/customXml" ds:itemID="{9149EF1D-B54A-4FCB-9E07-A92D70887C2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9021BCF1-83DB-40AA-A31B-A8F88FBF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3049</Words>
  <Characters>17384</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2025-01-17T10:41:00Z</dcterms:created>
  <dcterms:modified xsi:type="dcterms:W3CDTF">2025-02-18T14:23:00Z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