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2CD0" w14:textId="77777777" w:rsidR="00C568A5" w:rsidRPr="00C568A5" w:rsidRDefault="00C568A5" w:rsidP="00C568A5">
      <w:pPr>
        <w:jc w:val="center"/>
        <w:rPr>
          <w:b/>
          <w:bCs/>
        </w:rPr>
      </w:pPr>
      <w:bookmarkStart w:id="0" w:name="_Hlk211348705"/>
      <w:r w:rsidRPr="00C568A5">
        <w:rPr>
          <w:b/>
          <w:bCs/>
        </w:rPr>
        <w:t>Министерство науки, высшего образования и инноваций Кыргызской Республики</w:t>
      </w:r>
    </w:p>
    <w:p w14:paraId="009F16D6" w14:textId="77777777" w:rsidR="00C568A5" w:rsidRPr="00C568A5" w:rsidRDefault="00C568A5" w:rsidP="00C568A5">
      <w:pPr>
        <w:jc w:val="center"/>
        <w:rPr>
          <w:b/>
          <w:bCs/>
        </w:rPr>
      </w:pPr>
      <w:r w:rsidRPr="00C568A5">
        <w:rPr>
          <w:b/>
          <w:bCs/>
        </w:rPr>
        <w:t>Проект «Качество и инновации в высшем образовании» (КИВО)</w:t>
      </w:r>
    </w:p>
    <w:p w14:paraId="723BB91A" w14:textId="77777777" w:rsidR="00C568A5" w:rsidRPr="00C568A5" w:rsidRDefault="00C568A5" w:rsidP="00C568A5">
      <w:pPr>
        <w:jc w:val="center"/>
        <w:rPr>
          <w:b/>
          <w:bCs/>
        </w:rPr>
      </w:pPr>
      <w:r w:rsidRPr="00C568A5">
        <w:rPr>
          <w:b/>
          <w:bCs/>
        </w:rPr>
        <w:t>ТЕХНИЧЕСКОЕ ЗАДАНИЕ</w:t>
      </w:r>
    </w:p>
    <w:p w14:paraId="7838FE79" w14:textId="77777777" w:rsidR="00C568A5" w:rsidRPr="00C568A5" w:rsidRDefault="00C568A5" w:rsidP="00C568A5">
      <w:pPr>
        <w:jc w:val="center"/>
        <w:rPr>
          <w:b/>
          <w:bCs/>
        </w:rPr>
      </w:pPr>
    </w:p>
    <w:p w14:paraId="29AA80CD" w14:textId="783A7A5F" w:rsidR="00C568A5" w:rsidRDefault="00C568A5" w:rsidP="00C568A5">
      <w:pPr>
        <w:jc w:val="center"/>
        <w:rPr>
          <w:b/>
          <w:bCs/>
        </w:rPr>
      </w:pPr>
      <w:r w:rsidRPr="00C568A5">
        <w:rPr>
          <w:b/>
          <w:bCs/>
          <w:highlight w:val="yellow"/>
        </w:rPr>
        <w:t>№2</w:t>
      </w:r>
      <w:r w:rsidRPr="00C568A5">
        <w:rPr>
          <w:b/>
          <w:bCs/>
        </w:rPr>
        <w:t xml:space="preserve"> Эксперт технической группы Академического инновационного фонда (АИФТГ) </w:t>
      </w:r>
    </w:p>
    <w:p w14:paraId="3BF0714D" w14:textId="777DA186" w:rsidR="00DC4B00" w:rsidRPr="006875AA" w:rsidRDefault="00A01023" w:rsidP="00C568A5">
      <w:pPr>
        <w:jc w:val="center"/>
        <w:rPr>
          <w:b/>
          <w:bCs/>
        </w:rPr>
      </w:pPr>
      <w:r w:rsidRPr="006875AA">
        <w:rPr>
          <w:b/>
          <w:bCs/>
        </w:rPr>
        <w:t>по направлению</w:t>
      </w:r>
      <w:r w:rsidR="00DF1253" w:rsidRPr="006875AA">
        <w:rPr>
          <w:b/>
          <w:bCs/>
        </w:rPr>
        <w:t xml:space="preserve"> </w:t>
      </w:r>
      <w:r w:rsidR="00CF78E9">
        <w:rPr>
          <w:rStyle w:val="a6"/>
        </w:rPr>
        <w:t>«Биомедицинские, фармацевтические и биотехнологические науки»</w:t>
      </w:r>
      <w:r w:rsidR="00CF78E9" w:rsidRPr="006875AA">
        <w:rPr>
          <w:b/>
          <w:bCs/>
        </w:rPr>
        <w:t xml:space="preserve"> (или смежной области)</w:t>
      </w:r>
    </w:p>
    <w:p w14:paraId="72DBB9A6" w14:textId="77777777" w:rsidR="00DC4B00" w:rsidRPr="006875AA" w:rsidRDefault="00DC4B00" w:rsidP="00DD5DFF">
      <w:pPr>
        <w:jc w:val="center"/>
        <w:rPr>
          <w:b/>
          <w:bCs/>
        </w:rPr>
      </w:pPr>
    </w:p>
    <w:p w14:paraId="1B8546FE" w14:textId="58A424D9" w:rsidR="00AF2134" w:rsidRPr="00030A4B" w:rsidRDefault="00C568A5" w:rsidP="00C568A5">
      <w:pPr>
        <w:jc w:val="center"/>
        <w:rPr>
          <w:lang w:val="en-US"/>
        </w:rPr>
      </w:pPr>
      <w:r w:rsidRPr="00C568A5">
        <w:rPr>
          <w:b/>
          <w:bCs/>
        </w:rPr>
        <w:t>HEQIP-CS-IC-</w:t>
      </w:r>
      <w:r w:rsidRPr="00C568A5">
        <w:rPr>
          <w:b/>
          <w:bCs/>
          <w:highlight w:val="yellow"/>
        </w:rPr>
        <w:t>AIF</w:t>
      </w:r>
      <w:r w:rsidRPr="00C568A5">
        <w:rPr>
          <w:b/>
          <w:bCs/>
          <w:highlight w:val="yellow"/>
          <w:lang w:val="en-US"/>
        </w:rPr>
        <w:t>TG</w:t>
      </w:r>
      <w:r w:rsidRPr="00C568A5">
        <w:rPr>
          <w:b/>
          <w:bCs/>
          <w:highlight w:val="yellow"/>
        </w:rPr>
        <w:t>-</w:t>
      </w:r>
      <w:r w:rsidR="00030A4B">
        <w:rPr>
          <w:b/>
          <w:bCs/>
          <w:lang w:val="en-US"/>
        </w:rPr>
        <w:t>5</w:t>
      </w:r>
    </w:p>
    <w:p w14:paraId="3929311E" w14:textId="77777777" w:rsidR="007D09EF" w:rsidRPr="00BF44D4" w:rsidRDefault="007D09EF" w:rsidP="007D09EF">
      <w:pPr>
        <w:tabs>
          <w:tab w:val="left" w:pos="284"/>
        </w:tabs>
        <w:suppressAutoHyphens/>
        <w:jc w:val="both"/>
        <w:rPr>
          <w:b/>
        </w:rPr>
      </w:pPr>
      <w:r w:rsidRPr="00BF44D4">
        <w:rPr>
          <w:b/>
        </w:rPr>
        <w:t>1. Введение</w:t>
      </w:r>
    </w:p>
    <w:p w14:paraId="7C4E11F4" w14:textId="77777777" w:rsidR="007D09EF" w:rsidRPr="00BF44D4" w:rsidRDefault="007D09EF" w:rsidP="007D09EF">
      <w:pPr>
        <w:suppressAutoHyphens/>
        <w:jc w:val="both"/>
        <w:rPr>
          <w:b/>
        </w:rPr>
      </w:pPr>
    </w:p>
    <w:p w14:paraId="5A13B779" w14:textId="77777777" w:rsidR="007D09EF" w:rsidRPr="00BF44D4" w:rsidRDefault="007D09EF" w:rsidP="007D09EF">
      <w:pPr>
        <w:jc w:val="both"/>
      </w:pPr>
      <w:r w:rsidRPr="00BF44D4">
        <w:t>Всемирный банк предоставил кредит в размере 25 млн. долларов США для реализации Проекта «Качество и инновации в высшем образовании» (КИВО) в Кыргызской Республике. Проект реализуется Министерством науки, высшего образования и инноваций Кыргызской Республики (МНВОИ КР) в течение 5 лет.</w:t>
      </w:r>
    </w:p>
    <w:p w14:paraId="41728449" w14:textId="77777777" w:rsidR="007D09EF" w:rsidRPr="00BF44D4" w:rsidRDefault="007D09EF" w:rsidP="007D09EF">
      <w:pPr>
        <w:jc w:val="both"/>
      </w:pPr>
    </w:p>
    <w:p w14:paraId="6149AA80" w14:textId="50039A6D" w:rsidR="007D09EF" w:rsidRPr="00BF44D4" w:rsidRDefault="007D09EF" w:rsidP="007D09EF">
      <w:pPr>
        <w:jc w:val="both"/>
      </w:pPr>
      <w:r w:rsidRPr="00BF44D4">
        <w:t xml:space="preserve">Цель проекта </w:t>
      </w:r>
      <w:r w:rsidR="00AF2134">
        <w:t>–</w:t>
      </w:r>
      <w:r w:rsidRPr="00BF44D4">
        <w:t xml:space="preserve">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инновации и исследований (ЦИИ),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621EE35D" w14:textId="77777777" w:rsidR="007D09EF" w:rsidRPr="00BF44D4" w:rsidRDefault="007D09EF" w:rsidP="007D09EF">
      <w:pPr>
        <w:jc w:val="both"/>
      </w:pPr>
    </w:p>
    <w:p w14:paraId="56055215" w14:textId="77777777" w:rsidR="007D09EF" w:rsidRPr="00BF44D4" w:rsidRDefault="007D09EF" w:rsidP="007D09EF">
      <w:pPr>
        <w:jc w:val="both"/>
      </w:pPr>
      <w:r w:rsidRPr="00BF44D4">
        <w:t>Реализация проекта включает четыре компонента:</w:t>
      </w:r>
    </w:p>
    <w:p w14:paraId="252ACDAA" w14:textId="77777777" w:rsidR="007D09EF" w:rsidRPr="00BF44D4" w:rsidRDefault="007D09EF" w:rsidP="007D09EF">
      <w:pPr>
        <w:jc w:val="both"/>
      </w:pPr>
    </w:p>
    <w:p w14:paraId="7620CB05" w14:textId="77777777" w:rsidR="007D09EF" w:rsidRPr="00BF44D4" w:rsidRDefault="007D09EF" w:rsidP="007D09EF">
      <w:pPr>
        <w:jc w:val="both"/>
      </w:pPr>
      <w:r w:rsidRPr="00BF44D4">
        <w:rPr>
          <w:i/>
        </w:rPr>
        <w:t>Компонент 1: Повышение качества и актуальности исследовательских, инновационных и учебных программ в выбранных ВУЗах.</w:t>
      </w:r>
      <w:r w:rsidRPr="00BF44D4">
        <w:t xml:space="preserve">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модернизация образовательных программ в выбранных вузах.</w:t>
      </w:r>
    </w:p>
    <w:p w14:paraId="63197DF8" w14:textId="77777777" w:rsidR="007D09EF" w:rsidRPr="00BF44D4" w:rsidRDefault="007D09EF" w:rsidP="007D09EF">
      <w:pPr>
        <w:tabs>
          <w:tab w:val="left" w:pos="8505"/>
        </w:tabs>
        <w:jc w:val="both"/>
        <w:rPr>
          <w:i/>
        </w:rPr>
      </w:pPr>
    </w:p>
    <w:p w14:paraId="6402765F" w14:textId="77777777" w:rsidR="007D09EF" w:rsidRPr="00BF44D4" w:rsidRDefault="007D09EF" w:rsidP="007D09EF">
      <w:pPr>
        <w:tabs>
          <w:tab w:val="left" w:pos="8505"/>
        </w:tabs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МНВОИ КР.</w:t>
      </w:r>
    </w:p>
    <w:p w14:paraId="4D840E33" w14:textId="77777777" w:rsidR="007D09EF" w:rsidRPr="00BF44D4" w:rsidRDefault="007D09EF" w:rsidP="007D09EF">
      <w:pPr>
        <w:jc w:val="both"/>
        <w:rPr>
          <w:i/>
        </w:rPr>
      </w:pPr>
    </w:p>
    <w:p w14:paraId="5E21A5C0" w14:textId="77777777" w:rsidR="007D09EF" w:rsidRPr="00BF44D4" w:rsidRDefault="007D09EF" w:rsidP="007D09EF">
      <w:pPr>
        <w:jc w:val="both"/>
      </w:pPr>
      <w:r w:rsidRPr="00BF44D4">
        <w:rPr>
          <w:i/>
        </w:rPr>
        <w:t>Компонент 3: Усиление управления системой высшего образования в целях обеспечения качества.</w:t>
      </w:r>
      <w:r w:rsidRPr="00BF44D4">
        <w:t xml:space="preserve">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4BE08DD1" w14:textId="77777777" w:rsidR="007D09EF" w:rsidRPr="00BF44D4" w:rsidRDefault="007D09EF" w:rsidP="007D09EF">
      <w:pPr>
        <w:jc w:val="both"/>
        <w:rPr>
          <w:i/>
        </w:rPr>
      </w:pPr>
    </w:p>
    <w:p w14:paraId="00AD6751" w14:textId="77777777" w:rsidR="007D09EF" w:rsidRPr="00BF44D4" w:rsidRDefault="007D09EF" w:rsidP="007D09EF">
      <w:pPr>
        <w:jc w:val="both"/>
        <w:rPr>
          <w:b/>
          <w:bCs/>
        </w:rPr>
      </w:pPr>
      <w:r w:rsidRPr="00BF44D4">
        <w:rPr>
          <w:i/>
        </w:rPr>
        <w:t>Компонент 4: Поддержка управления проектом, мониторинга и оценки</w:t>
      </w:r>
      <w:r w:rsidRPr="00BF44D4">
        <w:t>. Этот компонент направлен на финансирование операционных расходов по реализации проекта: персонал Отдела реализации проекта (ОРП), оборудование, надзор и прочие эксплуатационные расходы структур, ответственных за реализацию.</w:t>
      </w:r>
    </w:p>
    <w:p w14:paraId="1761407B" w14:textId="77777777" w:rsidR="007D09EF" w:rsidRPr="00BF44D4" w:rsidRDefault="007D09EF" w:rsidP="007D09EF">
      <w:pPr>
        <w:jc w:val="both"/>
      </w:pPr>
    </w:p>
    <w:p w14:paraId="08F36F0D" w14:textId="77777777" w:rsidR="007D09EF" w:rsidRPr="00BF44D4" w:rsidRDefault="007D09EF" w:rsidP="007D09EF">
      <w:pPr>
        <w:jc w:val="both"/>
      </w:pPr>
      <w:r w:rsidRPr="00BF44D4">
        <w:t xml:space="preserve">Реализация проекта осуществляется через отдел реализации проекта при Министерстве науки, высшего образования и инноваций КР. Национальным координатором проекта выступает заместитель министра, ответственный за профессиональное и послевузовское образование, который координирует, контролирует и способствует реализации проекта, предоставляя регулярные отчеты министру. В процесс реализации проекта вовлечены подразделения МНВОИ КР: Управление высшего, среднего профессионального и послевузовского образования, Управление науки и инноваций, Управление бюджетной политики и финансового анализа </w:t>
      </w:r>
      <w:r w:rsidRPr="00BF44D4">
        <w:lastRenderedPageBreak/>
        <w:t>и Отдел мониторинга, стратегического планирования и анализа государственных программ. Руководители подразделений министерства обеспечивают координацию и поддержку проектных мероприятий. Они взаимодействуют с директором ОРП для координации действий и отчитываются непосредственно заместителю министра МНВОИ КР.</w:t>
      </w:r>
    </w:p>
    <w:p w14:paraId="7DF805D2" w14:textId="77777777" w:rsidR="007D09EF" w:rsidRPr="00BF44D4" w:rsidRDefault="007D09EF" w:rsidP="007D09EF">
      <w:pPr>
        <w:jc w:val="both"/>
      </w:pPr>
    </w:p>
    <w:p w14:paraId="2F044569" w14:textId="77777777" w:rsidR="007D09EF" w:rsidRPr="00BF44D4" w:rsidRDefault="007D09EF" w:rsidP="007D09EF">
      <w:pPr>
        <w:jc w:val="both"/>
        <w:rPr>
          <w:bCs/>
        </w:rPr>
      </w:pPr>
    </w:p>
    <w:p w14:paraId="51E78F9B" w14:textId="77777777" w:rsidR="007D09EF" w:rsidRPr="00BF44D4" w:rsidRDefault="007D09EF" w:rsidP="007D09EF">
      <w:pPr>
        <w:jc w:val="both"/>
        <w:rPr>
          <w:b/>
        </w:rPr>
      </w:pPr>
      <w:r w:rsidRPr="00BF44D4">
        <w:rPr>
          <w:b/>
        </w:rPr>
        <w:t>2. Описание Компонента 2</w:t>
      </w:r>
    </w:p>
    <w:p w14:paraId="3B7D0B92" w14:textId="77777777" w:rsidR="007D09EF" w:rsidRPr="00BF44D4" w:rsidRDefault="007D09EF" w:rsidP="007D09EF">
      <w:pPr>
        <w:jc w:val="both"/>
        <w:rPr>
          <w:b/>
        </w:rPr>
      </w:pPr>
    </w:p>
    <w:p w14:paraId="4731A6D9" w14:textId="77777777" w:rsidR="007D09EF" w:rsidRPr="00BF44D4" w:rsidRDefault="007D09EF" w:rsidP="007D09EF">
      <w:pPr>
        <w:jc w:val="both"/>
        <w:rPr>
          <w:rFonts w:eastAsia="Arial"/>
        </w:rPr>
      </w:pPr>
      <w:r w:rsidRPr="00BF44D4">
        <w:rPr>
          <w:rFonts w:eastAsia="Arial"/>
        </w:rPr>
        <w:t>Для содействия достижению главной цели проекта КИВО созданный Академический Инновационный Фонд (АИФ) предлагает ВУЗам конкурсные гранты посредством прозрачного и подотчетного процесса. Кроме того, АИФ будет способствовать созданию рамок и механизмов конкурсного финансирования исследований и инноваций для МНВОИ КР.</w:t>
      </w:r>
    </w:p>
    <w:p w14:paraId="56DA9F42" w14:textId="77777777" w:rsidR="007D09EF" w:rsidRPr="00BF44D4" w:rsidRDefault="007D09EF" w:rsidP="007D09EF">
      <w:pPr>
        <w:jc w:val="both"/>
      </w:pPr>
    </w:p>
    <w:p w14:paraId="1C1C8B4F" w14:textId="77777777" w:rsidR="007D09EF" w:rsidRPr="00BF44D4" w:rsidRDefault="007D09EF" w:rsidP="007D09EF">
      <w:pPr>
        <w:jc w:val="both"/>
      </w:pPr>
      <w:r w:rsidRPr="00BF44D4">
        <w:rPr>
          <w:i/>
        </w:rPr>
        <w:t>Компонент 2: Наращивание потенциала университетов для исследований и инноваций.</w:t>
      </w:r>
      <w:r w:rsidRPr="00BF44D4">
        <w:t xml:space="preserve"> Целью этого компонента является стимулирование исследований и инноваций через предоставление грантов в рамках конкурентного механизма финансирования. Для содействия достижению этой цели</w:t>
      </w:r>
      <w:r w:rsidRPr="00BF44D4">
        <w:rPr>
          <w:rFonts w:eastAsia="Arial"/>
        </w:rPr>
        <w:t xml:space="preserve"> посредством прозрачного и подотчетного процесса АИФ предлагает ВУЗам конкурсные гранты, главным образом ориентированные </w:t>
      </w:r>
      <w:r w:rsidRPr="00BF44D4">
        <w:t xml:space="preserve">на следующие приоритетные области: </w:t>
      </w:r>
    </w:p>
    <w:p w14:paraId="0E19117F" w14:textId="77777777" w:rsidR="007D09EF" w:rsidRPr="00BF44D4" w:rsidRDefault="007D09EF" w:rsidP="007D09EF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сотрудничества между университетами и промышленностью, а также между самими университетами, </w:t>
      </w:r>
    </w:p>
    <w:p w14:paraId="72C0E6A9" w14:textId="77777777" w:rsidR="007D09EF" w:rsidRPr="00BF44D4" w:rsidRDefault="007D09EF" w:rsidP="007D09EF">
      <w:pPr>
        <w:pStyle w:val="a4"/>
        <w:numPr>
          <w:ilvl w:val="0"/>
          <w:numId w:val="18"/>
        </w:numPr>
        <w:contextualSpacing w:val="0"/>
        <w:jc w:val="both"/>
      </w:pPr>
      <w:r w:rsidRPr="00BF44D4">
        <w:t>повышение исследовательского потенциала в научных и гуманитарных дисциплинах</w:t>
      </w:r>
    </w:p>
    <w:p w14:paraId="6D5DE411" w14:textId="77777777" w:rsidR="007D09EF" w:rsidRPr="00BF44D4" w:rsidRDefault="007D09EF" w:rsidP="007D09EF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укрепление междисциплинарных программ высшего образования, </w:t>
      </w:r>
    </w:p>
    <w:p w14:paraId="460357FC" w14:textId="77777777" w:rsidR="007D09EF" w:rsidRPr="00BF44D4" w:rsidRDefault="007D09EF" w:rsidP="007D09EF">
      <w:pPr>
        <w:pStyle w:val="a4"/>
        <w:numPr>
          <w:ilvl w:val="0"/>
          <w:numId w:val="18"/>
        </w:numPr>
        <w:contextualSpacing w:val="0"/>
        <w:jc w:val="both"/>
      </w:pPr>
      <w:r w:rsidRPr="00BF44D4">
        <w:t xml:space="preserve">усиление мер реагирования высшего образования и научных исследований на проблемы окружающей среды и изменения климата и </w:t>
      </w:r>
    </w:p>
    <w:p w14:paraId="09534979" w14:textId="77777777" w:rsidR="007D09EF" w:rsidRPr="00BF44D4" w:rsidRDefault="007D09EF" w:rsidP="007D09EF">
      <w:pPr>
        <w:pStyle w:val="a4"/>
        <w:numPr>
          <w:ilvl w:val="0"/>
          <w:numId w:val="18"/>
        </w:numPr>
        <w:contextualSpacing w:val="0"/>
        <w:jc w:val="both"/>
      </w:pPr>
      <w:r w:rsidRPr="00BF44D4">
        <w:t>расширение регионального сотрудничества с университетами в регионе Центральной Азии.</w:t>
      </w:r>
    </w:p>
    <w:p w14:paraId="5B366226" w14:textId="77777777" w:rsidR="007D09EF" w:rsidRPr="00BF44D4" w:rsidRDefault="007D09EF" w:rsidP="007D09EF">
      <w:pPr>
        <w:jc w:val="both"/>
      </w:pPr>
    </w:p>
    <w:p w14:paraId="506038AD" w14:textId="77777777" w:rsidR="007D09EF" w:rsidRPr="00BF44D4" w:rsidRDefault="007D09EF" w:rsidP="007D09EF">
      <w:pPr>
        <w:jc w:val="both"/>
      </w:pPr>
      <w:r w:rsidRPr="00BF44D4">
        <w:t xml:space="preserve">АИФ открыт абсолютно для всех дисциплин, как естественно-научных, инженерно-технических, медицинских, так и социально-гуманитарных. АИФ принимает предложения по двум направлениям: </w:t>
      </w:r>
    </w:p>
    <w:p w14:paraId="166B1BC4" w14:textId="77777777" w:rsidR="007D09EF" w:rsidRPr="00BF44D4" w:rsidRDefault="007D09EF" w:rsidP="007D09EF">
      <w:pPr>
        <w:pStyle w:val="a4"/>
        <w:numPr>
          <w:ilvl w:val="0"/>
          <w:numId w:val="21"/>
        </w:numPr>
        <w:contextualSpacing w:val="0"/>
        <w:jc w:val="both"/>
      </w:pPr>
      <w:r w:rsidRPr="00BF44D4">
        <w:t xml:space="preserve">Академическое совершенствование и </w:t>
      </w:r>
    </w:p>
    <w:p w14:paraId="2614FCA8" w14:textId="77777777" w:rsidR="007D09EF" w:rsidRPr="00BF44D4" w:rsidRDefault="007D09EF" w:rsidP="007D09EF">
      <w:pPr>
        <w:pStyle w:val="a4"/>
        <w:numPr>
          <w:ilvl w:val="0"/>
          <w:numId w:val="21"/>
        </w:numPr>
        <w:contextualSpacing w:val="0"/>
        <w:jc w:val="both"/>
      </w:pPr>
      <w:r w:rsidRPr="00BF44D4">
        <w:t>Содействие исследованиям.</w:t>
      </w:r>
    </w:p>
    <w:p w14:paraId="0E2D7354" w14:textId="77777777" w:rsidR="007D09EF" w:rsidRPr="00BF44D4" w:rsidRDefault="007D09EF" w:rsidP="007D09EF">
      <w:pPr>
        <w:jc w:val="both"/>
      </w:pPr>
    </w:p>
    <w:p w14:paraId="00AE1D22" w14:textId="77777777" w:rsidR="007D09EF" w:rsidRPr="00BF44D4" w:rsidRDefault="007D09EF" w:rsidP="007D09EF">
      <w:pPr>
        <w:jc w:val="both"/>
      </w:pPr>
      <w:r w:rsidRPr="00BF44D4">
        <w:t>Приоритет отдается подпроектам, соответствующим национальным приоритетам развития, а также инициативам, направленным на технологии в области изменения климата и зеленых технологий, исследованиям, возглавляемым женщинами-учеными.</w:t>
      </w:r>
    </w:p>
    <w:p w14:paraId="32A05CFF" w14:textId="77777777" w:rsidR="007D09EF" w:rsidRPr="00BF44D4" w:rsidRDefault="007D09EF" w:rsidP="007D09EF">
      <w:pPr>
        <w:jc w:val="both"/>
      </w:pPr>
    </w:p>
    <w:p w14:paraId="4D1C6C97" w14:textId="77777777" w:rsidR="007D09EF" w:rsidRPr="00BF44D4" w:rsidRDefault="007D09EF" w:rsidP="007D09EF">
      <w:pPr>
        <w:jc w:val="both"/>
      </w:pPr>
      <w:r w:rsidRPr="00BF44D4">
        <w:t>Максимальный размер каждого гранта составляет 200 000 долларов США на срок до трёх лет.</w:t>
      </w:r>
    </w:p>
    <w:p w14:paraId="567ECCE9" w14:textId="77777777" w:rsidR="007D09EF" w:rsidRPr="00BF44D4" w:rsidRDefault="007D09EF" w:rsidP="007D09EF">
      <w:pPr>
        <w:jc w:val="both"/>
      </w:pPr>
    </w:p>
    <w:p w14:paraId="5987E5F4" w14:textId="77777777" w:rsidR="007D09EF" w:rsidRPr="00BF44D4" w:rsidRDefault="007D09EF" w:rsidP="007D09EF">
      <w:pPr>
        <w:jc w:val="both"/>
        <w:rPr>
          <w:rFonts w:eastAsia="Times New Roman"/>
          <w:lang w:eastAsia="ru-RU"/>
        </w:rPr>
      </w:pPr>
      <w:r w:rsidRPr="00BF44D4">
        <w:t xml:space="preserve">Для обеспечения прозрачности и результативности реализации подпроекта устанавливаются показатели эффективности использования проектных средств. Они позволяют оценить эффективность использования грантового финансирования и достигнутые результаты. Четыре ключевых показателя эффективности подлежат включению в подпроекты программы АИФ: </w:t>
      </w:r>
    </w:p>
    <w:p w14:paraId="4D8D9D47" w14:textId="77777777" w:rsidR="007D09EF" w:rsidRPr="00BF44D4" w:rsidRDefault="007D09EF" w:rsidP="007D09EF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публикаций, представленных или опубликованных в национальных и международных журналах исследователями, использующими гранты АИФ;</w:t>
      </w:r>
    </w:p>
    <w:p w14:paraId="4CD78C40" w14:textId="77777777" w:rsidR="007D09EF" w:rsidRPr="00BF44D4" w:rsidRDefault="007D09EF" w:rsidP="007D09EF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академических программ, модернизированных или разработанных с использованием грантов АИФ;</w:t>
      </w:r>
    </w:p>
    <w:p w14:paraId="042C5CD4" w14:textId="77777777" w:rsidR="007D09EF" w:rsidRPr="00BF44D4" w:rsidRDefault="007D09EF" w:rsidP="007D09EF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студентов, получивших академическую или исследовательскую поддержку в рамках подпроектов АИФ;</w:t>
      </w:r>
    </w:p>
    <w:p w14:paraId="34F1E1DF" w14:textId="77777777" w:rsidR="007D09EF" w:rsidRPr="00BF44D4" w:rsidRDefault="007D09EF" w:rsidP="007D09EF">
      <w:pPr>
        <w:pStyle w:val="a4"/>
        <w:numPr>
          <w:ilvl w:val="0"/>
          <w:numId w:val="25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Общее количество преподавателей, прошедших обучение или повышение квалификации за счет грантов АИФ.</w:t>
      </w:r>
    </w:p>
    <w:p w14:paraId="3E72EBF9" w14:textId="77777777" w:rsidR="007D09EF" w:rsidRPr="00BF44D4" w:rsidRDefault="007D09EF" w:rsidP="007D09EF">
      <w:pPr>
        <w:jc w:val="both"/>
      </w:pPr>
    </w:p>
    <w:p w14:paraId="59D37FA1" w14:textId="77777777" w:rsidR="007D09EF" w:rsidRPr="00BF44D4" w:rsidRDefault="007D09EF" w:rsidP="007D09EF">
      <w:pPr>
        <w:jc w:val="both"/>
      </w:pPr>
      <w:r w:rsidRPr="00BF44D4">
        <w:t xml:space="preserve">Средства АИФ пойдут на приобретение различных необходимых ресурсов для реализации выбранных подпроектов, включая, но не ограничиваясь следующим: </w:t>
      </w:r>
    </w:p>
    <w:p w14:paraId="21D42AF7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lastRenderedPageBreak/>
        <w:t>Лабораторное оборудование, современные учебные классы, учебное оборудование, библиотечные книги, программное обеспечение и средства моделирования.</w:t>
      </w:r>
    </w:p>
    <w:p w14:paraId="638119A6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Исследовательские приборы, материалы, другие прямые расходы, связанные с исследовательской деятельностью и публикациями.</w:t>
      </w:r>
    </w:p>
    <w:p w14:paraId="6AC1DFED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Цифровое оборудование, цифровые услуги, включая цифровую библиотеку.</w:t>
      </w:r>
    </w:p>
    <w:p w14:paraId="2AB87325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партнерскую деятельность с отраслями промышленности и другими университетами.</w:t>
      </w:r>
    </w:p>
    <w:p w14:paraId="01262970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Профессиональное развитие преподавателей и другого соответствующего персонала.</w:t>
      </w:r>
    </w:p>
    <w:p w14:paraId="30105CBE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Расходы на организацию конференций, семинаров и практикумов в стране, а также на участие в международных конференциях, связанных с грантовым проектом АИФ.</w:t>
      </w:r>
    </w:p>
    <w:p w14:paraId="7EC2C18F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Дополнительные операционные расходы (канцелярские принадлежности, офисные услуги, перевод, транспорт и расходы на топливо, связанные с подпроектом и т.д.) не должны превышать более 15% от выделенной суммы гранта.</w:t>
      </w:r>
    </w:p>
    <w:p w14:paraId="10887CCE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Процесс закупок в рамках грантов АИФ будет осуществляться централизованно в координации со специалистами ОРП вместе с грантополучателями.</w:t>
      </w:r>
    </w:p>
    <w:p w14:paraId="5F28B1A4" w14:textId="77777777" w:rsidR="007D09EF" w:rsidRPr="00BF44D4" w:rsidRDefault="007D09EF" w:rsidP="007D09EF">
      <w:pPr>
        <w:pStyle w:val="a4"/>
        <w:numPr>
          <w:ilvl w:val="0"/>
          <w:numId w:val="22"/>
        </w:numPr>
        <w:contextualSpacing w:val="0"/>
        <w:jc w:val="both"/>
      </w:pPr>
      <w:r w:rsidRPr="00BF44D4">
        <w:t>Запрещены затраты на строительные работы, зарплаты / пособия преподавателям, стипендии студентам, а также не допускаются расходы на приобретение транспортных средств.</w:t>
      </w:r>
    </w:p>
    <w:p w14:paraId="3733D35E" w14:textId="77777777" w:rsidR="007D09EF" w:rsidRDefault="007D09EF" w:rsidP="007D09EF">
      <w:pPr>
        <w:jc w:val="both"/>
      </w:pPr>
    </w:p>
    <w:p w14:paraId="08147362" w14:textId="77777777" w:rsidR="00BD24BF" w:rsidRDefault="00BD24BF" w:rsidP="007D09EF">
      <w:pPr>
        <w:jc w:val="both"/>
      </w:pPr>
    </w:p>
    <w:p w14:paraId="3CF25144" w14:textId="77777777" w:rsidR="00BD24BF" w:rsidRPr="008362E9" w:rsidRDefault="00BD24BF" w:rsidP="00BD24BF">
      <w:pPr>
        <w:jc w:val="both"/>
        <w:rPr>
          <w:b/>
          <w:bCs/>
        </w:rPr>
      </w:pPr>
      <w:r w:rsidRPr="008362E9">
        <w:rPr>
          <w:b/>
          <w:bCs/>
        </w:rPr>
        <w:t xml:space="preserve">3. Цель задания </w:t>
      </w:r>
    </w:p>
    <w:p w14:paraId="1AFA95F2" w14:textId="77777777" w:rsidR="004E260E" w:rsidRDefault="004E260E" w:rsidP="00C568A5">
      <w:pPr>
        <w:pStyle w:val="a7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7CB295F" w14:textId="3A4CD3B5" w:rsidR="00C568A5" w:rsidRDefault="00C568A5" w:rsidP="00C568A5">
      <w:pPr>
        <w:pStyle w:val="a7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C568A5">
        <w:rPr>
          <w:rFonts w:ascii="Arial" w:eastAsiaTheme="minorHAnsi" w:hAnsi="Arial" w:cs="Arial"/>
          <w:sz w:val="22"/>
          <w:szCs w:val="22"/>
          <w:lang w:eastAsia="en-US"/>
        </w:rPr>
        <w:t>Целью данного задания является предоставление технической п</w:t>
      </w:r>
      <w:r w:rsidR="004E260E">
        <w:rPr>
          <w:rFonts w:ascii="Arial" w:eastAsiaTheme="minorHAnsi" w:hAnsi="Arial" w:cs="Arial"/>
          <w:sz w:val="22"/>
          <w:szCs w:val="22"/>
          <w:lang w:eastAsia="en-US"/>
        </w:rPr>
        <w:t>омощи</w:t>
      </w:r>
      <w:r w:rsidRPr="00C568A5">
        <w:rPr>
          <w:rFonts w:ascii="Arial" w:eastAsiaTheme="minorHAnsi" w:hAnsi="Arial" w:cs="Arial"/>
          <w:sz w:val="22"/>
          <w:szCs w:val="22"/>
          <w:lang w:eastAsia="en-US"/>
        </w:rPr>
        <w:t xml:space="preserve"> Министерству науки, высшего образования и инноваций КР в проведении экспертной оценки грантовых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Pr="00C568A5">
        <w:rPr>
          <w:rFonts w:ascii="Arial" w:eastAsiaTheme="minorHAnsi" w:hAnsi="Arial" w:cs="Arial"/>
          <w:sz w:val="22"/>
          <w:szCs w:val="22"/>
          <w:lang w:eastAsia="en-US"/>
        </w:rPr>
        <w:t>з</w:t>
      </w:r>
      <w:r>
        <w:rPr>
          <w:rFonts w:ascii="Arial" w:eastAsiaTheme="minorHAnsi" w:hAnsi="Arial" w:cs="Arial"/>
          <w:sz w:val="22"/>
          <w:szCs w:val="22"/>
          <w:lang w:eastAsia="en-US"/>
        </w:rPr>
        <w:t>а</w:t>
      </w:r>
      <w:r w:rsidRPr="00C568A5">
        <w:rPr>
          <w:rFonts w:ascii="Arial" w:eastAsiaTheme="minorHAnsi" w:hAnsi="Arial" w:cs="Arial"/>
          <w:sz w:val="22"/>
          <w:szCs w:val="22"/>
          <w:lang w:eastAsia="en-US"/>
        </w:rPr>
        <w:t>явок в рамках конкурсной схемы финансирования АИФ.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5FC759D" w14:textId="4DAD2E04" w:rsidR="00C568A5" w:rsidRPr="00C568A5" w:rsidRDefault="00C568A5" w:rsidP="00C568A5">
      <w:pPr>
        <w:pStyle w:val="a7"/>
        <w:spacing w:before="0" w:beforeAutospacing="0" w:after="0" w:afterAutospacing="0"/>
        <w:rPr>
          <w:rFonts w:ascii="Arial" w:eastAsiaTheme="minorHAnsi" w:hAnsi="Arial" w:cs="Arial"/>
          <w:sz w:val="22"/>
          <w:szCs w:val="22"/>
          <w:lang w:eastAsia="en-US"/>
        </w:rPr>
      </w:pPr>
      <w:r w:rsidRPr="00C568A5">
        <w:rPr>
          <w:rFonts w:ascii="Arial" w:eastAsiaTheme="minorHAnsi" w:hAnsi="Arial" w:cs="Arial"/>
          <w:sz w:val="22"/>
          <w:szCs w:val="22"/>
          <w:lang w:eastAsia="en-US"/>
        </w:rPr>
        <w:t>Основными принципами оценки являются:</w:t>
      </w:r>
    </w:p>
    <w:p w14:paraId="1A62E820" w14:textId="28BC9713" w:rsidR="00BD24BF" w:rsidRPr="00F52F9A" w:rsidRDefault="00BD24BF" w:rsidP="00C568A5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Объективность:</w:t>
      </w:r>
      <w:r w:rsidRPr="00F52F9A">
        <w:rPr>
          <w:rFonts w:ascii="Arial" w:hAnsi="Arial" w:cs="Arial"/>
          <w:sz w:val="22"/>
          <w:szCs w:val="22"/>
        </w:rPr>
        <w:t xml:space="preserve"> принятие решений на основе фактических данных и установленных критериев;</w:t>
      </w:r>
    </w:p>
    <w:p w14:paraId="5F6FE093" w14:textId="77777777" w:rsidR="00BD24BF" w:rsidRPr="00F52F9A" w:rsidRDefault="00BD24BF" w:rsidP="00BD24BF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Конфиденциальность:</w:t>
      </w:r>
      <w:r w:rsidRPr="00F52F9A">
        <w:rPr>
          <w:rFonts w:ascii="Arial" w:hAnsi="Arial" w:cs="Arial"/>
          <w:sz w:val="22"/>
          <w:szCs w:val="22"/>
        </w:rPr>
        <w:t xml:space="preserve"> защита информации о заявках и результатах экспертизы;</w:t>
      </w:r>
    </w:p>
    <w:p w14:paraId="62075625" w14:textId="77777777" w:rsidR="00BD24BF" w:rsidRPr="00F52F9A" w:rsidRDefault="00BD24BF" w:rsidP="00BD24BF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Независимость:</w:t>
      </w:r>
      <w:r w:rsidRPr="00F52F9A">
        <w:rPr>
          <w:rFonts w:ascii="Arial" w:hAnsi="Arial" w:cs="Arial"/>
          <w:sz w:val="22"/>
          <w:szCs w:val="22"/>
        </w:rPr>
        <w:t xml:space="preserve"> исключение внешнего влияния на процесс оценки;</w:t>
      </w:r>
    </w:p>
    <w:p w14:paraId="4E80B51D" w14:textId="77777777" w:rsidR="00BD24BF" w:rsidRPr="00F52F9A" w:rsidRDefault="00BD24BF" w:rsidP="00BD24BF">
      <w:pPr>
        <w:pStyle w:val="a7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2F9A">
        <w:rPr>
          <w:rStyle w:val="a6"/>
          <w:rFonts w:ascii="Arial" w:hAnsi="Arial" w:cs="Arial"/>
          <w:b w:val="0"/>
          <w:bCs w:val="0"/>
          <w:sz w:val="22"/>
          <w:szCs w:val="22"/>
        </w:rPr>
        <w:t>Профессионализм:</w:t>
      </w:r>
      <w:r w:rsidRPr="00F52F9A">
        <w:rPr>
          <w:rFonts w:ascii="Arial" w:hAnsi="Arial" w:cs="Arial"/>
          <w:sz w:val="22"/>
          <w:szCs w:val="22"/>
        </w:rPr>
        <w:t xml:space="preserve"> соблюдение стандартов экспертизы</w:t>
      </w:r>
      <w:r>
        <w:rPr>
          <w:rFonts w:ascii="Arial" w:hAnsi="Arial" w:cs="Arial"/>
          <w:sz w:val="22"/>
          <w:szCs w:val="22"/>
        </w:rPr>
        <w:t xml:space="preserve">, </w:t>
      </w:r>
      <w:r w:rsidRPr="00F52F9A">
        <w:rPr>
          <w:rFonts w:ascii="Arial" w:hAnsi="Arial" w:cs="Arial"/>
          <w:sz w:val="22"/>
          <w:szCs w:val="22"/>
        </w:rPr>
        <w:t>этических норм</w:t>
      </w:r>
      <w:r>
        <w:rPr>
          <w:rFonts w:ascii="Arial" w:hAnsi="Arial" w:cs="Arial"/>
          <w:sz w:val="22"/>
          <w:szCs w:val="22"/>
        </w:rPr>
        <w:t>, отсутствие конфликта интересов</w:t>
      </w:r>
      <w:r w:rsidRPr="00F52F9A">
        <w:rPr>
          <w:rFonts w:ascii="Arial" w:hAnsi="Arial" w:cs="Arial"/>
          <w:sz w:val="22"/>
          <w:szCs w:val="22"/>
        </w:rPr>
        <w:t>.</w:t>
      </w:r>
    </w:p>
    <w:p w14:paraId="3AB0F40D" w14:textId="77777777" w:rsidR="00BD24BF" w:rsidRDefault="00BD24BF" w:rsidP="00C568A5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638B3C43" w14:textId="02BEB742" w:rsidR="00BD24BF" w:rsidRDefault="004E260E" w:rsidP="00C568A5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  <w:r>
        <w:rPr>
          <w:rStyle w:val="a6"/>
          <w:rFonts w:ascii="Arial" w:hAnsi="Arial" w:cs="Arial"/>
          <w:b w:val="0"/>
          <w:bCs w:val="0"/>
          <w:sz w:val="22"/>
          <w:szCs w:val="22"/>
        </w:rPr>
        <w:t>Э</w:t>
      </w:r>
      <w:r w:rsidR="00C568A5" w:rsidRPr="00C568A5">
        <w:rPr>
          <w:rStyle w:val="a6"/>
          <w:rFonts w:ascii="Arial" w:hAnsi="Arial" w:cs="Arial"/>
          <w:b w:val="0"/>
          <w:bCs w:val="0"/>
          <w:sz w:val="22"/>
          <w:szCs w:val="22"/>
        </w:rPr>
        <w:t>ксперт отвечает за техническую экспертизу детальных проектных предложений, обеспечивая объективность и высокое качество оценки, а также подготовку обоснованных рекомендаций для Совета по исследованиям и инновациям при МНВОИ КР относительно присуждения гранта.</w:t>
      </w:r>
    </w:p>
    <w:p w14:paraId="6F93CE4C" w14:textId="77777777" w:rsidR="00BD24BF" w:rsidRPr="00BF44D4" w:rsidRDefault="00BD24BF" w:rsidP="00BD24BF"/>
    <w:p w14:paraId="75F35B70" w14:textId="188F23B6" w:rsidR="003E3164" w:rsidRPr="006875AA" w:rsidRDefault="008F4B9B" w:rsidP="00DD5DFF">
      <w:pPr>
        <w:rPr>
          <w:b/>
          <w:bCs/>
        </w:rPr>
      </w:pPr>
      <w:r>
        <w:rPr>
          <w:b/>
          <w:bCs/>
        </w:rPr>
        <w:t>4</w:t>
      </w:r>
      <w:r w:rsidR="003E3164" w:rsidRPr="006875AA">
        <w:rPr>
          <w:b/>
          <w:bCs/>
        </w:rPr>
        <w:t>. Объем работы</w:t>
      </w:r>
      <w:r w:rsidR="00031336" w:rsidRPr="00031336">
        <w:rPr>
          <w:b/>
          <w:bCs/>
        </w:rPr>
        <w:t xml:space="preserve"> </w:t>
      </w:r>
      <w:r w:rsidR="00031336" w:rsidRPr="006875AA">
        <w:rPr>
          <w:b/>
          <w:bCs/>
        </w:rPr>
        <w:t>Эксперта АИФТГ по направлению</w:t>
      </w:r>
      <w:r w:rsidR="00031336">
        <w:rPr>
          <w:b/>
          <w:bCs/>
        </w:rPr>
        <w:t xml:space="preserve"> </w:t>
      </w:r>
      <w:r w:rsidR="00031336">
        <w:rPr>
          <w:rStyle w:val="a6"/>
        </w:rPr>
        <w:t>«Биомедицинские, фармацевтические и биотехнологические науки»</w:t>
      </w:r>
      <w:r w:rsidR="00031336" w:rsidRPr="006875AA">
        <w:rPr>
          <w:b/>
          <w:bCs/>
        </w:rPr>
        <w:t xml:space="preserve"> (или смежной области)</w:t>
      </w:r>
    </w:p>
    <w:p w14:paraId="6C3F2519" w14:textId="77777777" w:rsidR="00FF7F09" w:rsidRPr="006875AA" w:rsidRDefault="00FF7F09" w:rsidP="00DD5DFF">
      <w:pPr>
        <w:jc w:val="both"/>
      </w:pPr>
    </w:p>
    <w:p w14:paraId="5CE93BF3" w14:textId="4CCC0456" w:rsidR="00F30EA2" w:rsidRDefault="00462D49" w:rsidP="00DD5DFF">
      <w:pPr>
        <w:jc w:val="both"/>
      </w:pPr>
      <w:r>
        <w:t xml:space="preserve">Эксперт АИФТГ по направлению </w:t>
      </w:r>
      <w:r w:rsidRPr="00320D5F">
        <w:rPr>
          <w:rStyle w:val="a6"/>
          <w:b w:val="0"/>
          <w:bCs w:val="0"/>
        </w:rPr>
        <w:t>«Биомедицинские, фармацевтические и биотехнологические науки»</w:t>
      </w:r>
      <w:r>
        <w:t xml:space="preserve"> осуществля</w:t>
      </w:r>
      <w:r w:rsidR="004E260E">
        <w:t>е</w:t>
      </w:r>
      <w:r>
        <w:t>т оценку детальных проектных предложений в области биомедицины, здравоохранения, фармацевтики и биоэквивалентности, а также биотехнологий и медицинской инженерии, включая иные смежные направления, связанные с развитием инноваций в сфере медицины и здоровья человека.</w:t>
      </w:r>
    </w:p>
    <w:p w14:paraId="3308B5F4" w14:textId="77777777" w:rsidR="00462D49" w:rsidRPr="006875AA" w:rsidRDefault="00462D49" w:rsidP="00DD5DFF">
      <w:pPr>
        <w:jc w:val="both"/>
        <w:rPr>
          <w:rFonts w:eastAsia="Times New Roman"/>
          <w:lang w:eastAsia="ru-RU"/>
        </w:rPr>
      </w:pPr>
    </w:p>
    <w:p w14:paraId="68E6A712" w14:textId="00D79BB8" w:rsidR="000D6316" w:rsidRPr="00BF44D4" w:rsidRDefault="00C568A5" w:rsidP="004E260E">
      <w:pPr>
        <w:jc w:val="both"/>
        <w:rPr>
          <w:rFonts w:eastAsia="Times New Roman"/>
          <w:lang w:eastAsia="ru-RU"/>
        </w:rPr>
      </w:pPr>
      <w:r w:rsidRPr="00C568A5">
        <w:rPr>
          <w:rFonts w:eastAsia="Times New Roman"/>
          <w:lang w:eastAsia="ru-RU"/>
        </w:rPr>
        <w:t xml:space="preserve">Оценка </w:t>
      </w:r>
      <w:r w:rsidR="004E260E" w:rsidRPr="00C568A5">
        <w:rPr>
          <w:rFonts w:eastAsia="Times New Roman"/>
          <w:lang w:eastAsia="ru-RU"/>
        </w:rPr>
        <w:t xml:space="preserve">детальных </w:t>
      </w:r>
      <w:r w:rsidRPr="00C568A5">
        <w:rPr>
          <w:rFonts w:eastAsia="Times New Roman"/>
          <w:lang w:eastAsia="ru-RU"/>
        </w:rPr>
        <w:t>проектных предложений проводится с учетом установленных критериев оценки, указанных в операционном руководстве по грантам АИФ, которые отражают д</w:t>
      </w:r>
      <w:r>
        <w:rPr>
          <w:rFonts w:eastAsia="Times New Roman"/>
          <w:lang w:eastAsia="ru-RU"/>
        </w:rPr>
        <w:t>о</w:t>
      </w:r>
      <w:r w:rsidRPr="00C568A5">
        <w:rPr>
          <w:rFonts w:eastAsia="Times New Roman"/>
          <w:lang w:eastAsia="ru-RU"/>
        </w:rPr>
        <w:t xml:space="preserve">стижение ключевых результатов программы АИФ и позволяют оценить рациональность использования предоставленного финансирования. </w:t>
      </w:r>
      <w:r w:rsidR="000D6316" w:rsidRPr="00BF44D4">
        <w:rPr>
          <w:rFonts w:eastAsia="Times New Roman"/>
          <w:lang w:eastAsia="ru-RU"/>
        </w:rPr>
        <w:t xml:space="preserve">Эти критерии служат общими ориентирами для эксперта при анализе качества и соответствия проектных предложений требованиям конкурса. </w:t>
      </w:r>
    </w:p>
    <w:p w14:paraId="73A45A11" w14:textId="77777777" w:rsidR="000D6316" w:rsidRPr="00BF44D4" w:rsidRDefault="000D6316" w:rsidP="000D6316">
      <w:pPr>
        <w:jc w:val="both"/>
        <w:rPr>
          <w:rFonts w:eastAsia="Times New Roman"/>
          <w:lang w:eastAsia="ru-RU"/>
        </w:rPr>
      </w:pPr>
    </w:p>
    <w:p w14:paraId="03203A09" w14:textId="77777777" w:rsidR="000D6316" w:rsidRPr="00BF44D4" w:rsidRDefault="000D6316" w:rsidP="000D6316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К числу основных критериев оценки детальных проектных предложения относятся:</w:t>
      </w:r>
    </w:p>
    <w:p w14:paraId="065F287D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lastRenderedPageBreak/>
        <w:t xml:space="preserve">Ясность и качество стратегического анализа и разработки предложений. </w:t>
      </w:r>
      <w:r w:rsidRPr="00BF44D4">
        <w:rPr>
          <w:rFonts w:eastAsia="Times New Roman"/>
          <w:lang w:eastAsia="ru-RU"/>
        </w:rPr>
        <w:t>Подпроект должен основываться на чётком анализе, ясных целях и логичной структуре. Особое внимание уделяется инновационности и партнёрскому потенциалу.</w:t>
      </w:r>
    </w:p>
    <w:p w14:paraId="0BA10641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ясность механизмов мониторинга и оценки и показателей эффективности. </w:t>
      </w:r>
      <w:r w:rsidRPr="00BF44D4">
        <w:rPr>
          <w:rFonts w:eastAsia="Times New Roman"/>
          <w:lang w:eastAsia="ru-RU"/>
        </w:rPr>
        <w:t>Должна быть представлена понятная система мониторинга с чёткими ролями и измеримыми показателями. Механизмы оценки должны обеспечивать контроль и корректировку хода реализации.</w:t>
      </w:r>
    </w:p>
    <w:p w14:paraId="3B79909E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Актуальность для страны и преимущества. </w:t>
      </w:r>
      <w:r w:rsidRPr="00BF44D4">
        <w:rPr>
          <w:rFonts w:eastAsia="Times New Roman"/>
          <w:lang w:eastAsia="ru-RU"/>
        </w:rPr>
        <w:t>Подпроект должен соответствовать целям высшего образования и задачам АИФ. Оценивается вклад в развитие учреждения и ожидаемые выгоды для страны.</w:t>
      </w:r>
    </w:p>
    <w:p w14:paraId="41ADE401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и актуальность мероприятий. </w:t>
      </w:r>
      <w:r w:rsidRPr="00BF44D4">
        <w:rPr>
          <w:rFonts w:eastAsia="Times New Roman"/>
          <w:lang w:eastAsia="ru-RU"/>
        </w:rPr>
        <w:t>Мероприятия должны быть обоснованными, последовательными и согласованными с целями подпроекта. Бюджетная смета должна быть реалистичной и соответствовать логике действий.</w:t>
      </w:r>
    </w:p>
    <w:p w14:paraId="4710CECF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Качество плана управления. </w:t>
      </w:r>
      <w:r w:rsidRPr="00BF44D4">
        <w:rPr>
          <w:rFonts w:eastAsia="Times New Roman"/>
          <w:lang w:eastAsia="ru-RU"/>
        </w:rPr>
        <w:t>План управления должен включать чёткие механизмы реализации и распределение ответственности. План закупок должен быть подготовлен грамотно и своевременно.</w:t>
      </w:r>
    </w:p>
    <w:p w14:paraId="6ADAA9DF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Институциональные обязательства. </w:t>
      </w:r>
      <w:r w:rsidRPr="00BF44D4">
        <w:rPr>
          <w:rFonts w:eastAsia="Times New Roman"/>
          <w:lang w:eastAsia="ru-RU"/>
        </w:rPr>
        <w:t>Оценивается приверженность руководства и вовлечённость структурных подразделений. Важно наличие координации и поддержки на уровне вуза.</w:t>
      </w:r>
    </w:p>
    <w:p w14:paraId="61B3C593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анализа воздействия. </w:t>
      </w:r>
      <w:r w:rsidRPr="00BF44D4">
        <w:rPr>
          <w:rFonts w:eastAsia="Times New Roman"/>
          <w:lang w:eastAsia="ru-RU"/>
        </w:rPr>
        <w:t>Анализ должен отражать ожидаемые результаты и их влияние на развитие учреждения. Важно определить риски и подходы к их минимизации.</w:t>
      </w:r>
    </w:p>
    <w:p w14:paraId="48AF7217" w14:textId="77777777" w:rsidR="000D6316" w:rsidRPr="00BF44D4" w:rsidRDefault="000D6316" w:rsidP="000D6316">
      <w:pPr>
        <w:pStyle w:val="a4"/>
        <w:numPr>
          <w:ilvl w:val="0"/>
          <w:numId w:val="28"/>
        </w:numPr>
        <w:contextualSpacing w:val="0"/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b/>
          <w:bCs/>
          <w:lang w:eastAsia="ru-RU"/>
        </w:rPr>
        <w:t xml:space="preserve">Ясность и осуществимость плана устойчивого развития. </w:t>
      </w:r>
      <w:r w:rsidRPr="00BF44D4">
        <w:rPr>
          <w:rFonts w:eastAsia="Times New Roman"/>
          <w:lang w:eastAsia="ru-RU"/>
        </w:rPr>
        <w:t>Должен быть представлен реалистичный план продолжения инициативы после завершения финансирования. Важно наличие обязательств по дальнейшему инвестированию и институциональной поддержке.</w:t>
      </w:r>
    </w:p>
    <w:p w14:paraId="0DB8C675" w14:textId="77777777" w:rsidR="000D6316" w:rsidRPr="00BF44D4" w:rsidRDefault="000D6316" w:rsidP="000D6316">
      <w:pPr>
        <w:jc w:val="both"/>
      </w:pPr>
    </w:p>
    <w:p w14:paraId="04A231C7" w14:textId="77777777" w:rsidR="000D6316" w:rsidRPr="00BF44D4" w:rsidRDefault="000D6316" w:rsidP="000D6316">
      <w:pPr>
        <w:jc w:val="both"/>
      </w:pPr>
      <w:r w:rsidRPr="00BF44D4">
        <w:t>В рамках своей работы Эксперт выполняет следующие функции:</w:t>
      </w:r>
    </w:p>
    <w:p w14:paraId="5D5C4667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 xml:space="preserve">Проведение индивидуальной экспертизы детальных предложений в соответствии с указанными выше критериями оценки, в том числе на соответствие экологическим и социальным критериям. Процедура оценки осуществляется на основе </w:t>
      </w:r>
      <w:r w:rsidRPr="00BF44D4">
        <w:rPr>
          <w:rStyle w:val="af0"/>
        </w:rPr>
        <w:t>обезличенного подхода</w:t>
      </w:r>
      <w:r w:rsidRPr="00BF44D4">
        <w:t>, исключающего раскрытие информации о заявителях и учебных заведениях.</w:t>
      </w:r>
    </w:p>
    <w:p w14:paraId="3805D694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>Оценка реалистичности достижения ожидаемых результатов: исследовательский продукт, модернизированная или новая образовательная программа (с последующей лицензией / аккредитацией), публикации, партнёрства с другими ВУЗами и индустрией.</w:t>
      </w:r>
    </w:p>
    <w:p w14:paraId="5305BA97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>Проверка соответствия детальных проектных предложений условиям предоставления гранта, включая, но не ограничиваясь: бюджет, срок реализации, категории закупок, допустимые и недопустимые расходы, полнота необходимой информации.</w:t>
      </w:r>
    </w:p>
    <w:p w14:paraId="1DD40FFE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>Подготовка индивидуального экспертного заключения с количественной и качественной оценкой по установленной форме оценки проектных заявок.</w:t>
      </w:r>
    </w:p>
    <w:p w14:paraId="6B7654A5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>Своевременное предоставление индивидуальных заключений в ОРП.</w:t>
      </w:r>
    </w:p>
    <w:p w14:paraId="359A21D2" w14:textId="77777777" w:rsidR="000D6316" w:rsidRPr="00BF44D4" w:rsidRDefault="000D6316" w:rsidP="000D6316">
      <w:pPr>
        <w:pStyle w:val="a"/>
        <w:numPr>
          <w:ilvl w:val="0"/>
          <w:numId w:val="9"/>
        </w:numPr>
        <w:contextualSpacing w:val="0"/>
        <w:jc w:val="both"/>
      </w:pPr>
      <w:r w:rsidRPr="00BF44D4">
        <w:t>Участие в групповом обсуждении и согласовании итоговой оценки по каждой проектной заявке.</w:t>
      </w:r>
    </w:p>
    <w:p w14:paraId="75105412" w14:textId="77777777" w:rsidR="000D6316" w:rsidRPr="00BF44D4" w:rsidRDefault="000D6316" w:rsidP="000D6316">
      <w:pPr>
        <w:pStyle w:val="a4"/>
        <w:numPr>
          <w:ilvl w:val="0"/>
          <w:numId w:val="4"/>
        </w:numPr>
        <w:contextualSpacing w:val="0"/>
        <w:jc w:val="both"/>
        <w:rPr>
          <w:rFonts w:eastAsia="Arial"/>
        </w:rPr>
      </w:pPr>
      <w:r w:rsidRPr="00BF44D4">
        <w:t>Подготовка итогового сводного экспертного заключения с представлением рекомендаций на</w:t>
      </w:r>
      <w:r w:rsidRPr="00BF44D4">
        <w:rPr>
          <w:rFonts w:eastAsia="Arial"/>
        </w:rPr>
        <w:t xml:space="preserve"> </w:t>
      </w:r>
      <w:r w:rsidRPr="00BF44D4">
        <w:t>заседании Совета по исследованиям и инновациям для окончательного отбора детальных проектных предложений.</w:t>
      </w:r>
    </w:p>
    <w:p w14:paraId="0E762E21" w14:textId="77777777" w:rsidR="000D6316" w:rsidRPr="00BF44D4" w:rsidRDefault="000D6316" w:rsidP="000D6316">
      <w:pPr>
        <w:jc w:val="both"/>
        <w:rPr>
          <w:rFonts w:eastAsia="Arial"/>
        </w:rPr>
      </w:pPr>
    </w:p>
    <w:p w14:paraId="66D45791" w14:textId="77777777" w:rsidR="000D6316" w:rsidRPr="00BF44D4" w:rsidRDefault="000D6316" w:rsidP="000D6316">
      <w:pPr>
        <w:jc w:val="both"/>
        <w:rPr>
          <w:rFonts w:eastAsia="Arial"/>
        </w:rPr>
      </w:pPr>
    </w:p>
    <w:p w14:paraId="488A6EE7" w14:textId="365F7F4C" w:rsidR="0029005A" w:rsidRPr="006875AA" w:rsidRDefault="00CF7603" w:rsidP="00DD5DFF">
      <w:pPr>
        <w:suppressAutoHyphens/>
        <w:jc w:val="both"/>
        <w:rPr>
          <w:b/>
        </w:rPr>
      </w:pPr>
      <w:r>
        <w:rPr>
          <w:b/>
        </w:rPr>
        <w:t>5</w:t>
      </w:r>
      <w:r w:rsidR="0029005A" w:rsidRPr="006875AA">
        <w:rPr>
          <w:b/>
        </w:rPr>
        <w:t>. Продолжительность задания</w:t>
      </w:r>
      <w:r w:rsidR="0029005A" w:rsidRPr="006875AA">
        <w:rPr>
          <w:b/>
          <w:bCs/>
        </w:rPr>
        <w:t xml:space="preserve"> Эксперта АИФТГ по направлению </w:t>
      </w:r>
      <w:r w:rsidR="00A57550">
        <w:rPr>
          <w:rStyle w:val="a6"/>
        </w:rPr>
        <w:t>«Биомедицинские, фармацевтические и биотехнологические науки»</w:t>
      </w:r>
      <w:r w:rsidR="00A57550" w:rsidRPr="006875AA">
        <w:rPr>
          <w:b/>
          <w:bCs/>
        </w:rPr>
        <w:t xml:space="preserve"> (или смежной области)</w:t>
      </w:r>
    </w:p>
    <w:p w14:paraId="01CD7601" w14:textId="77777777" w:rsidR="0029005A" w:rsidRPr="006875AA" w:rsidRDefault="0029005A" w:rsidP="00DD5DFF">
      <w:pPr>
        <w:rPr>
          <w:bCs/>
        </w:rPr>
      </w:pPr>
    </w:p>
    <w:p w14:paraId="5E63231E" w14:textId="77777777" w:rsidR="00170DE7" w:rsidRPr="00BF44D4" w:rsidRDefault="00170DE7" w:rsidP="00170DE7">
      <w:pPr>
        <w:widowControl w:val="0"/>
        <w:jc w:val="both"/>
      </w:pPr>
      <w:r w:rsidRPr="00BF44D4">
        <w:t>Планируемая продолжительность задания составляет 7 рабочих дней в течение двух месяцев с момента подписания контракта на услуги консультанта.</w:t>
      </w:r>
    </w:p>
    <w:p w14:paraId="70C962F0" w14:textId="77777777" w:rsidR="00306222" w:rsidRPr="006875AA" w:rsidRDefault="00306222" w:rsidP="00DD5DFF">
      <w:pPr>
        <w:widowControl w:val="0"/>
        <w:jc w:val="both"/>
      </w:pPr>
    </w:p>
    <w:p w14:paraId="7A27742B" w14:textId="77777777" w:rsidR="0029005A" w:rsidRPr="006875AA" w:rsidRDefault="0029005A" w:rsidP="00DD5DFF">
      <w:pPr>
        <w:widowControl w:val="0"/>
        <w:jc w:val="both"/>
      </w:pPr>
    </w:p>
    <w:p w14:paraId="56A07DB2" w14:textId="23A1AE56" w:rsidR="0029005A" w:rsidRPr="006875AA" w:rsidRDefault="00170DE7" w:rsidP="00DD5DFF">
      <w:pPr>
        <w:jc w:val="both"/>
        <w:rPr>
          <w:b/>
        </w:rPr>
      </w:pPr>
      <w:r>
        <w:rPr>
          <w:b/>
        </w:rPr>
        <w:t>6</w:t>
      </w:r>
      <w:r w:rsidR="0029005A" w:rsidRPr="006875AA">
        <w:rPr>
          <w:b/>
        </w:rPr>
        <w:t>.</w:t>
      </w:r>
      <w:r w:rsidR="00306222" w:rsidRPr="006875AA">
        <w:rPr>
          <w:b/>
        </w:rPr>
        <w:t xml:space="preserve"> </w:t>
      </w:r>
      <w:r w:rsidR="0029005A" w:rsidRPr="006875AA">
        <w:rPr>
          <w:b/>
        </w:rPr>
        <w:t>Условия выполнения задания</w:t>
      </w:r>
    </w:p>
    <w:p w14:paraId="6602FB0A" w14:textId="77777777" w:rsidR="0029005A" w:rsidRPr="006875AA" w:rsidRDefault="0029005A" w:rsidP="00DD5DFF">
      <w:pPr>
        <w:jc w:val="both"/>
        <w:rPr>
          <w:bCs/>
        </w:rPr>
      </w:pPr>
    </w:p>
    <w:p w14:paraId="14DAEE9C" w14:textId="084CC78A" w:rsidR="00734BF4" w:rsidRPr="006875AA" w:rsidRDefault="00734BF4" w:rsidP="00DD5DFF">
      <w:pPr>
        <w:jc w:val="both"/>
        <w:rPr>
          <w:rFonts w:eastAsia="Times New Roman"/>
          <w:lang w:eastAsia="ru-RU"/>
        </w:rPr>
      </w:pPr>
      <w:r w:rsidRPr="006875AA">
        <w:rPr>
          <w:rFonts w:eastAsia="Times New Roman"/>
          <w:lang w:eastAsia="ru-RU"/>
        </w:rPr>
        <w:lastRenderedPageBreak/>
        <w:t xml:space="preserve">Эксперт АИФТГ по направлению </w:t>
      </w:r>
      <w:r w:rsidR="00F82F6E" w:rsidRPr="00F82F6E">
        <w:rPr>
          <w:rStyle w:val="a6"/>
          <w:b w:val="0"/>
          <w:bCs w:val="0"/>
        </w:rPr>
        <w:t>«Биомедицинские, фармацевтические и биотехнологические науки»</w:t>
      </w:r>
      <w:r w:rsidR="001B3A43" w:rsidRPr="006875AA">
        <w:rPr>
          <w:rFonts w:eastAsia="Times New Roman"/>
          <w:lang w:eastAsia="ru-RU"/>
        </w:rPr>
        <w:t xml:space="preserve"> </w:t>
      </w:r>
      <w:r w:rsidR="001B3A43" w:rsidRPr="006875AA">
        <w:t>или смежной области</w:t>
      </w:r>
      <w:r w:rsidRPr="006875AA">
        <w:rPr>
          <w:rFonts w:eastAsia="Times New Roman"/>
          <w:lang w:eastAsia="ru-RU"/>
        </w:rPr>
        <w:t xml:space="preserve"> будет работать в тесном взаимодействии со специалистами ОРП и другими экспертами АИФТГ. Работа эксперта может выполняться как в очном, так и в онлайн-формате, в зависимости от организационных возможностей и договоренностей с ОРП.</w:t>
      </w:r>
    </w:p>
    <w:p w14:paraId="7617708F" w14:textId="77777777" w:rsidR="006B4E77" w:rsidRPr="006875AA" w:rsidRDefault="006B4E77" w:rsidP="00DD5DFF">
      <w:pPr>
        <w:jc w:val="both"/>
        <w:rPr>
          <w:rFonts w:eastAsia="Times New Roman"/>
          <w:lang w:eastAsia="ru-RU"/>
        </w:rPr>
      </w:pPr>
    </w:p>
    <w:p w14:paraId="394E1CB1" w14:textId="77777777" w:rsidR="002E40A2" w:rsidRPr="00BF44D4" w:rsidRDefault="002E40A2" w:rsidP="002E40A2">
      <w:pPr>
        <w:jc w:val="both"/>
        <w:rPr>
          <w:rFonts w:eastAsia="Times New Roman"/>
          <w:lang w:eastAsia="ru-RU"/>
        </w:rPr>
      </w:pPr>
      <w:r w:rsidRPr="00BF44D4">
        <w:rPr>
          <w:rFonts w:eastAsia="Times New Roman"/>
          <w:lang w:eastAsia="ru-RU"/>
        </w:rPr>
        <w:t>Эксперт осуществляет оценку детальных предложений и предоставляет индивидуальны экспертные заключения по каждому детальному предложению грантозаявителя. К</w:t>
      </w:r>
      <w:r w:rsidRPr="00BF44D4">
        <w:rPr>
          <w:rFonts w:eastAsia="Arial"/>
        </w:rPr>
        <w:t xml:space="preserve">аждая конкурсная заявка будет оцениваться тремя (3) экспертами. </w:t>
      </w:r>
      <w:r w:rsidRPr="00BF44D4">
        <w:rPr>
          <w:rFonts w:eastAsia="Times New Roman"/>
          <w:lang w:eastAsia="ru-RU"/>
        </w:rPr>
        <w:t>По завершении индивидуальной экспертизы проводится групповое обсуждение (очно или онлайн) с участием всех экспертов направления с целью подготовки итогового сводного экспертного отчета и выработки согласованных рекомендаций для представления на заседание СИИ, где принимается окончательное решение об отборе детальных проектных предложений.</w:t>
      </w:r>
    </w:p>
    <w:p w14:paraId="7CEDFA73" w14:textId="77777777" w:rsidR="00734BF4" w:rsidRPr="006875AA" w:rsidRDefault="00734BF4" w:rsidP="00DD5DFF">
      <w:pPr>
        <w:tabs>
          <w:tab w:val="left" w:pos="284"/>
          <w:tab w:val="left" w:pos="426"/>
        </w:tabs>
        <w:jc w:val="both"/>
      </w:pPr>
    </w:p>
    <w:p w14:paraId="41B57B7A" w14:textId="77777777" w:rsidR="00734BF4" w:rsidRPr="006875AA" w:rsidRDefault="00734BF4" w:rsidP="00DD5DFF">
      <w:pPr>
        <w:tabs>
          <w:tab w:val="left" w:pos="284"/>
          <w:tab w:val="left" w:pos="426"/>
        </w:tabs>
        <w:jc w:val="both"/>
      </w:pPr>
    </w:p>
    <w:p w14:paraId="18C0756C" w14:textId="77777777" w:rsidR="00F21175" w:rsidRPr="00BF44D4" w:rsidRDefault="00F21175" w:rsidP="00F21175">
      <w:pPr>
        <w:jc w:val="both"/>
        <w:rPr>
          <w:b/>
        </w:rPr>
      </w:pPr>
      <w:r w:rsidRPr="00BF44D4">
        <w:rPr>
          <w:b/>
        </w:rPr>
        <w:t>7. Перечень представления отчетов и оплата эксперту</w:t>
      </w:r>
    </w:p>
    <w:p w14:paraId="2A657C97" w14:textId="77777777" w:rsidR="00F21175" w:rsidRPr="00BF44D4" w:rsidRDefault="00F21175" w:rsidP="00F21175">
      <w:pPr>
        <w:pStyle w:val="a7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6963DB" w14:textId="77777777" w:rsidR="00F21175" w:rsidRPr="00BF44D4" w:rsidRDefault="00F21175" w:rsidP="00F2117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Эксперт АИФТГ подотчетен Координатору Компонента 2 и отчитывается в соответствии с утверждённым графиком выполнения технического задания, который является обязательным документом для контроля сроков и качества выполнения услуг. На начальном этапе реализации задания э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ксперт совместно с группой экспертов</w:t>
      </w:r>
      <w:r w:rsidRPr="00BF44D4">
        <w:rPr>
          <w:rFonts w:ascii="Arial" w:hAnsi="Arial" w:cs="Arial"/>
          <w:sz w:val="22"/>
          <w:szCs w:val="22"/>
        </w:rPr>
        <w:t xml:space="preserve"> и под руководством Координатора Компонента 2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разрабатывает и согласовывает детальный график выполнения технического задания</w:t>
      </w:r>
      <w:r w:rsidRPr="00BF44D4">
        <w:rPr>
          <w:rFonts w:ascii="Arial" w:hAnsi="Arial" w:cs="Arial"/>
          <w:sz w:val="22"/>
          <w:szCs w:val="22"/>
        </w:rPr>
        <w:t xml:space="preserve">, включая сроки подготовки индивидуальных заключений и итогового сводного отчета: </w:t>
      </w:r>
    </w:p>
    <w:p w14:paraId="70288878" w14:textId="77777777" w:rsidR="00F21175" w:rsidRPr="00BF44D4" w:rsidRDefault="00F21175" w:rsidP="00F21175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E086179" w14:textId="77777777" w:rsidR="00F21175" w:rsidRPr="00BF44D4" w:rsidRDefault="00F21175" w:rsidP="00F21175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 результатам оценки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каждой грантовой заявки</w:t>
      </w:r>
      <w:r w:rsidRPr="00BF44D4">
        <w:rPr>
          <w:rFonts w:ascii="Arial" w:hAnsi="Arial" w:cs="Arial"/>
          <w:sz w:val="22"/>
          <w:szCs w:val="22"/>
        </w:rPr>
        <w:t xml:space="preserve"> эксперт обязан представить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индивидуальное экспертное заключение</w:t>
      </w:r>
      <w:r w:rsidRPr="00BF44D4">
        <w:rPr>
          <w:rFonts w:ascii="Arial" w:hAnsi="Arial" w:cs="Arial"/>
          <w:sz w:val="22"/>
          <w:szCs w:val="22"/>
        </w:rPr>
        <w:t xml:space="preserve"> в электронном формате не позднее чем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в течение трёх (3) рабочих дней</w:t>
      </w:r>
      <w:r w:rsidRPr="00BF44D4">
        <w:rPr>
          <w:rFonts w:ascii="Arial" w:hAnsi="Arial" w:cs="Arial"/>
          <w:sz w:val="22"/>
          <w:szCs w:val="22"/>
        </w:rPr>
        <w:t xml:space="preserve"> после завершения оценки данной заявки.</w:t>
      </w:r>
    </w:p>
    <w:p w14:paraId="02903ECB" w14:textId="77777777" w:rsidR="00F21175" w:rsidRPr="00BF44D4" w:rsidRDefault="00F21175" w:rsidP="00F21175">
      <w:pPr>
        <w:pStyle w:val="a7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 xml:space="preserve">После завершения оценки всех заявок эксперт принимает участие в подготовке </w:t>
      </w:r>
      <w:r w:rsidRPr="00BF44D4">
        <w:rPr>
          <w:rStyle w:val="a6"/>
          <w:rFonts w:ascii="Arial" w:hAnsi="Arial" w:cs="Arial"/>
          <w:b w:val="0"/>
          <w:bCs w:val="0"/>
          <w:sz w:val="22"/>
          <w:szCs w:val="22"/>
        </w:rPr>
        <w:t>итогового сводного отчета группы экспертов</w:t>
      </w:r>
      <w:r w:rsidRPr="00BF44D4">
        <w:rPr>
          <w:rFonts w:ascii="Arial" w:hAnsi="Arial" w:cs="Arial"/>
          <w:sz w:val="22"/>
          <w:szCs w:val="22"/>
        </w:rPr>
        <w:t xml:space="preserve"> с рекомендациями по результатам технической оценки.</w:t>
      </w:r>
    </w:p>
    <w:p w14:paraId="16066D72" w14:textId="77777777" w:rsidR="00C568A5" w:rsidRPr="00C568A5" w:rsidRDefault="00F21175" w:rsidP="00C568A5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BF44D4">
        <w:t xml:space="preserve">Все отчеты предоставляются в электронном виде (формат Word или PDF) с использованием утверждённых шаблонов проекта. По запросу Координатора Компонента 2 эксперт обязан внести необходимые корректировки или уточнения в течение </w:t>
      </w:r>
      <w:r w:rsidRPr="00BF44D4">
        <w:rPr>
          <w:rStyle w:val="a6"/>
          <w:b w:val="0"/>
          <w:bCs w:val="0"/>
        </w:rPr>
        <w:t>2 рабочих дней</w:t>
      </w:r>
      <w:r w:rsidR="006466F8" w:rsidRPr="006466F8">
        <w:rPr>
          <w:rStyle w:val="a6"/>
          <w:b w:val="0"/>
          <w:bCs w:val="0"/>
        </w:rPr>
        <w:t xml:space="preserve"> (</w:t>
      </w:r>
      <w:r w:rsidR="00AB501B">
        <w:rPr>
          <w:rStyle w:val="a6"/>
          <w:b w:val="0"/>
          <w:bCs w:val="0"/>
        </w:rPr>
        <w:t>Таблица</w:t>
      </w:r>
      <w:r w:rsidR="006466F8" w:rsidRPr="006466F8">
        <w:rPr>
          <w:rStyle w:val="a6"/>
          <w:b w:val="0"/>
          <w:bCs w:val="0"/>
        </w:rPr>
        <w:t xml:space="preserve"> </w:t>
      </w:r>
      <w:r w:rsidR="006466F8" w:rsidRPr="00AB501B">
        <w:rPr>
          <w:rStyle w:val="a6"/>
          <w:b w:val="0"/>
          <w:bCs w:val="0"/>
        </w:rPr>
        <w:t>1</w:t>
      </w:r>
      <w:r w:rsidR="006466F8" w:rsidRPr="006466F8">
        <w:rPr>
          <w:rStyle w:val="a6"/>
          <w:b w:val="0"/>
          <w:bCs w:val="0"/>
        </w:rPr>
        <w:t>)</w:t>
      </w:r>
      <w:r w:rsidRPr="00BF44D4">
        <w:rPr>
          <w:rStyle w:val="a6"/>
          <w:b w:val="0"/>
          <w:bCs w:val="0"/>
        </w:rPr>
        <w:t>.</w:t>
      </w:r>
    </w:p>
    <w:p w14:paraId="7E87B3A6" w14:textId="1D0B6CA6" w:rsidR="00C568A5" w:rsidRPr="00C568A5" w:rsidRDefault="00C568A5" w:rsidP="00C568A5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C568A5">
        <w:rPr>
          <w:rStyle w:val="a6"/>
          <w:rFonts w:eastAsia="Times New Roman"/>
          <w:b w:val="0"/>
          <w:bCs w:val="0"/>
          <w:lang w:eastAsia="ru-RU"/>
        </w:rPr>
        <w:t>Итоговый сводный отчет</w:t>
      </w:r>
      <w:r w:rsidR="004E260E">
        <w:rPr>
          <w:rStyle w:val="a6"/>
          <w:rFonts w:eastAsia="Times New Roman"/>
          <w:b w:val="0"/>
          <w:bCs w:val="0"/>
          <w:lang w:eastAsia="ru-RU"/>
        </w:rPr>
        <w:t xml:space="preserve"> </w:t>
      </w:r>
      <w:r w:rsidRPr="00C568A5">
        <w:rPr>
          <w:rStyle w:val="a6"/>
          <w:rFonts w:eastAsia="Times New Roman"/>
          <w:b w:val="0"/>
          <w:bCs w:val="0"/>
          <w:lang w:eastAsia="ru-RU"/>
        </w:rPr>
        <w:t>представляется Координатору Компонента 2, как в электронном формате, так и в бумажном виде, не позднее седьмого рабочего дня с даты начала выполнения задания.</w:t>
      </w:r>
    </w:p>
    <w:p w14:paraId="4D93EA75" w14:textId="6C7BE13C" w:rsidR="00C568A5" w:rsidRPr="00C568A5" w:rsidRDefault="00C568A5" w:rsidP="00C568A5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C568A5">
        <w:rPr>
          <w:rStyle w:val="a6"/>
          <w:rFonts w:eastAsia="Times New Roman"/>
          <w:b w:val="0"/>
          <w:bCs w:val="0"/>
          <w:lang w:eastAsia="ru-RU"/>
        </w:rPr>
        <w:t>Сводн</w:t>
      </w:r>
      <w:r w:rsidR="004E260E">
        <w:rPr>
          <w:rStyle w:val="a6"/>
          <w:rFonts w:eastAsia="Times New Roman"/>
          <w:b w:val="0"/>
          <w:bCs w:val="0"/>
          <w:lang w:eastAsia="ru-RU"/>
        </w:rPr>
        <w:t>ый</w:t>
      </w:r>
      <w:r w:rsidRPr="00C568A5">
        <w:rPr>
          <w:rStyle w:val="a6"/>
          <w:rFonts w:eastAsia="Times New Roman"/>
          <w:b w:val="0"/>
          <w:bCs w:val="0"/>
          <w:lang w:eastAsia="ru-RU"/>
        </w:rPr>
        <w:t xml:space="preserve"> экспертн</w:t>
      </w:r>
      <w:r w:rsidR="004E260E">
        <w:rPr>
          <w:rStyle w:val="a6"/>
          <w:rFonts w:eastAsia="Times New Roman"/>
          <w:b w:val="0"/>
          <w:bCs w:val="0"/>
          <w:lang w:eastAsia="ru-RU"/>
        </w:rPr>
        <w:t>ый</w:t>
      </w:r>
      <w:r w:rsidRPr="00C568A5">
        <w:rPr>
          <w:rStyle w:val="a6"/>
          <w:rFonts w:eastAsia="Times New Roman"/>
          <w:b w:val="0"/>
          <w:bCs w:val="0"/>
          <w:lang w:eastAsia="ru-RU"/>
        </w:rPr>
        <w:t xml:space="preserve"> </w:t>
      </w:r>
      <w:r w:rsidR="004E260E">
        <w:rPr>
          <w:rStyle w:val="a6"/>
          <w:rFonts w:eastAsia="Times New Roman"/>
          <w:b w:val="0"/>
          <w:bCs w:val="0"/>
          <w:lang w:eastAsia="ru-RU"/>
        </w:rPr>
        <w:t>отчет</w:t>
      </w:r>
      <w:r w:rsidRPr="00C568A5">
        <w:rPr>
          <w:rStyle w:val="a6"/>
          <w:rFonts w:eastAsia="Times New Roman"/>
          <w:b w:val="0"/>
          <w:bCs w:val="0"/>
          <w:lang w:eastAsia="ru-RU"/>
        </w:rPr>
        <w:t xml:space="preserve"> с рекомендациями представляется на заседании Совета по исследованиям и инновациям для окончательного отбора детальных проектных предложений.</w:t>
      </w:r>
    </w:p>
    <w:p w14:paraId="4FF99278" w14:textId="1C09088D" w:rsidR="00C568A5" w:rsidRPr="00C568A5" w:rsidRDefault="00C568A5" w:rsidP="00C568A5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C568A5">
        <w:rPr>
          <w:rStyle w:val="a6"/>
          <w:rFonts w:eastAsia="Times New Roman"/>
          <w:b w:val="0"/>
          <w:bCs w:val="0"/>
          <w:lang w:eastAsia="ru-RU"/>
        </w:rPr>
        <w:t>Вознаграждение эксперту выплачивается в размере 100% после полного завершения задания, представления всех требуемых документов и подписания итогового сводного отчета.</w:t>
      </w:r>
    </w:p>
    <w:p w14:paraId="6676A212" w14:textId="71C28F1F" w:rsidR="00C568A5" w:rsidRPr="00C568A5" w:rsidRDefault="00C568A5" w:rsidP="00C568A5">
      <w:pPr>
        <w:pStyle w:val="a4"/>
        <w:numPr>
          <w:ilvl w:val="0"/>
          <w:numId w:val="29"/>
        </w:numPr>
        <w:contextualSpacing w:val="0"/>
        <w:jc w:val="both"/>
        <w:rPr>
          <w:rStyle w:val="a6"/>
        </w:rPr>
      </w:pPr>
      <w:r w:rsidRPr="00C568A5">
        <w:rPr>
          <w:rStyle w:val="a6"/>
          <w:rFonts w:eastAsia="Times New Roman"/>
          <w:b w:val="0"/>
          <w:bCs w:val="0"/>
          <w:lang w:eastAsia="ru-RU"/>
        </w:rPr>
        <w:t>Факт завершения задания подтверждается Актом выполненных услуг, подписанным экспертом и принятым Координатором Компонента 2.</w:t>
      </w:r>
    </w:p>
    <w:p w14:paraId="17104E98" w14:textId="77777777" w:rsidR="00F21175" w:rsidRPr="00BF44D4" w:rsidRDefault="00F21175" w:rsidP="00F21175">
      <w:pPr>
        <w:jc w:val="both"/>
        <w:rPr>
          <w:rStyle w:val="a6"/>
          <w:b w:val="0"/>
          <w:bCs w:val="0"/>
        </w:rPr>
      </w:pPr>
    </w:p>
    <w:p w14:paraId="67A3CDFF" w14:textId="77777777" w:rsidR="00F21175" w:rsidRPr="00BF44D4" w:rsidRDefault="00F21175" w:rsidP="00F21175">
      <w:pPr>
        <w:keepNext/>
        <w:keepLines/>
        <w:jc w:val="both"/>
      </w:pPr>
      <w:r w:rsidRPr="00BF44D4">
        <w:rPr>
          <w:rStyle w:val="a6"/>
        </w:rPr>
        <w:t>Таблица 1. Отчетность эксперта АИФТГ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1269"/>
      </w:tblGrid>
      <w:tr w:rsidR="004E260E" w:rsidRPr="00BF44D4" w14:paraId="56AB04BC" w14:textId="3C4069B8" w:rsidTr="00E6601A">
        <w:trPr>
          <w:tblHeader/>
        </w:trPr>
        <w:tc>
          <w:tcPr>
            <w:tcW w:w="4673" w:type="dxa"/>
            <w:vAlign w:val="center"/>
          </w:tcPr>
          <w:p w14:paraId="536DEE91" w14:textId="77777777" w:rsidR="004E260E" w:rsidRPr="00BF44D4" w:rsidRDefault="004E260E" w:rsidP="00904E4E">
            <w:pPr>
              <w:keepNext/>
              <w:keepLines/>
              <w:suppressAutoHyphens/>
              <w:jc w:val="center"/>
              <w:rPr>
                <w:bCs/>
              </w:rPr>
            </w:pPr>
            <w:r w:rsidRPr="00BF44D4">
              <w:rPr>
                <w:rFonts w:eastAsia="Times New Roman"/>
                <w:b/>
                <w:bCs/>
                <w:lang w:eastAsia="ru-RU"/>
              </w:rPr>
              <w:t>Результаты / документы</w:t>
            </w:r>
          </w:p>
        </w:tc>
        <w:tc>
          <w:tcPr>
            <w:tcW w:w="3686" w:type="dxa"/>
            <w:vAlign w:val="center"/>
          </w:tcPr>
          <w:p w14:paraId="3B6617C7" w14:textId="772361D4" w:rsidR="004E260E" w:rsidRPr="00C568A5" w:rsidRDefault="004E260E" w:rsidP="00904E4E">
            <w:pPr>
              <w:keepNext/>
              <w:keepLines/>
              <w:suppressAutoHyphens/>
              <w:jc w:val="center"/>
              <w:rPr>
                <w:b/>
              </w:rPr>
            </w:pPr>
            <w:r w:rsidRPr="00C568A5">
              <w:rPr>
                <w:b/>
              </w:rPr>
              <w:t>Сроки</w:t>
            </w:r>
          </w:p>
        </w:tc>
        <w:tc>
          <w:tcPr>
            <w:tcW w:w="1269" w:type="dxa"/>
            <w:vAlign w:val="center"/>
          </w:tcPr>
          <w:p w14:paraId="0E249B47" w14:textId="43E44F68" w:rsidR="004E260E" w:rsidRPr="00C568A5" w:rsidRDefault="00E6601A" w:rsidP="004E260E">
            <w:pPr>
              <w:keepNext/>
              <w:keepLines/>
              <w:suppressAutoHyphens/>
              <w:jc w:val="center"/>
              <w:rPr>
                <w:b/>
              </w:rPr>
            </w:pPr>
            <w:r>
              <w:rPr>
                <w:b/>
              </w:rPr>
              <w:t>Оплата</w:t>
            </w:r>
          </w:p>
        </w:tc>
      </w:tr>
      <w:tr w:rsidR="004E260E" w:rsidRPr="00BF44D4" w14:paraId="02FBC386" w14:textId="7746CC0A" w:rsidTr="00E6601A">
        <w:tc>
          <w:tcPr>
            <w:tcW w:w="4673" w:type="dxa"/>
          </w:tcPr>
          <w:p w14:paraId="59F20411" w14:textId="6B7D768D" w:rsidR="004E260E" w:rsidRPr="00BF44D4" w:rsidRDefault="004E260E" w:rsidP="00C568A5">
            <w:pPr>
              <w:suppressAutoHyphens/>
              <w:rPr>
                <w:bCs/>
              </w:rPr>
            </w:pPr>
            <w:r w:rsidRPr="00544F06">
              <w:t>Индивидуальные экспертные заключения по оценке каждого детального проектного предложения</w:t>
            </w:r>
          </w:p>
        </w:tc>
        <w:tc>
          <w:tcPr>
            <w:tcW w:w="3686" w:type="dxa"/>
          </w:tcPr>
          <w:p w14:paraId="3492E8DA" w14:textId="4731654C" w:rsidR="004E260E" w:rsidRPr="00BF44D4" w:rsidRDefault="004E260E" w:rsidP="00C568A5">
            <w:pPr>
              <w:suppressAutoHyphens/>
              <w:rPr>
                <w:bCs/>
              </w:rPr>
            </w:pPr>
            <w:r w:rsidRPr="00E048FA">
              <w:t>Передаются в течение 3 дней после оценки каждой заявки</w:t>
            </w:r>
          </w:p>
        </w:tc>
        <w:tc>
          <w:tcPr>
            <w:tcW w:w="1269" w:type="dxa"/>
          </w:tcPr>
          <w:p w14:paraId="720E861A" w14:textId="03CA1B42" w:rsidR="004E260E" w:rsidRPr="00BF44D4" w:rsidRDefault="00E6601A" w:rsidP="00E6601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  <w:tr w:rsidR="004E260E" w:rsidRPr="00BF44D4" w14:paraId="16ACF27C" w14:textId="76DCBED3" w:rsidTr="00E6601A">
        <w:tc>
          <w:tcPr>
            <w:tcW w:w="4673" w:type="dxa"/>
          </w:tcPr>
          <w:p w14:paraId="05B0A5D5" w14:textId="159BBAB2" w:rsidR="004E260E" w:rsidRPr="00BF44D4" w:rsidRDefault="004E260E" w:rsidP="00C568A5">
            <w:pPr>
              <w:suppressAutoHyphens/>
              <w:rPr>
                <w:bCs/>
              </w:rPr>
            </w:pPr>
            <w:r w:rsidRPr="00544F06">
              <w:t>Итоговый сводный отчет для заседания Совета по исследованиям и инновациям</w:t>
            </w:r>
          </w:p>
        </w:tc>
        <w:tc>
          <w:tcPr>
            <w:tcW w:w="3686" w:type="dxa"/>
          </w:tcPr>
          <w:p w14:paraId="64D69207" w14:textId="45E5F158" w:rsidR="004E260E" w:rsidRPr="00BF44D4" w:rsidRDefault="004E260E" w:rsidP="00C568A5">
            <w:pPr>
              <w:suppressAutoHyphens/>
              <w:rPr>
                <w:bCs/>
              </w:rPr>
            </w:pPr>
            <w:r w:rsidRPr="00E048FA">
              <w:t>Передается в течение 15 дней после подписания контракта</w:t>
            </w:r>
          </w:p>
        </w:tc>
        <w:tc>
          <w:tcPr>
            <w:tcW w:w="1269" w:type="dxa"/>
          </w:tcPr>
          <w:p w14:paraId="0D918DA1" w14:textId="251503CD" w:rsidR="004E260E" w:rsidRPr="00BF44D4" w:rsidRDefault="00E6601A" w:rsidP="00E6601A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50%</w:t>
            </w:r>
          </w:p>
        </w:tc>
      </w:tr>
    </w:tbl>
    <w:p w14:paraId="51AB1935" w14:textId="77777777" w:rsidR="00F21175" w:rsidRPr="00BF44D4" w:rsidRDefault="00F21175" w:rsidP="00F21175">
      <w:pPr>
        <w:suppressAutoHyphens/>
        <w:jc w:val="both"/>
        <w:rPr>
          <w:bCs/>
        </w:rPr>
      </w:pPr>
    </w:p>
    <w:p w14:paraId="2BF2E81D" w14:textId="77777777" w:rsidR="00F21175" w:rsidRPr="00BF44D4" w:rsidRDefault="00F21175" w:rsidP="00F21175">
      <w:pPr>
        <w:suppressAutoHyphens/>
        <w:jc w:val="both"/>
        <w:rPr>
          <w:bCs/>
        </w:rPr>
      </w:pPr>
    </w:p>
    <w:p w14:paraId="20BF5C8E" w14:textId="77777777" w:rsidR="00F21175" w:rsidRPr="00BF44D4" w:rsidRDefault="00F21175" w:rsidP="00F21175">
      <w:pPr>
        <w:suppressAutoHyphens/>
        <w:jc w:val="both"/>
        <w:rPr>
          <w:b/>
        </w:rPr>
      </w:pPr>
      <w:r w:rsidRPr="00BF44D4">
        <w:rPr>
          <w:b/>
        </w:rPr>
        <w:t>8. Вклад МНВОИ КР</w:t>
      </w:r>
    </w:p>
    <w:p w14:paraId="684E7A04" w14:textId="28F149F9" w:rsidR="00F21175" w:rsidRPr="00BF44D4" w:rsidRDefault="00F62D41" w:rsidP="00F62D41">
      <w:pPr>
        <w:tabs>
          <w:tab w:val="left" w:pos="284"/>
          <w:tab w:val="left" w:pos="426"/>
        </w:tabs>
        <w:jc w:val="both"/>
      </w:pPr>
      <w:r w:rsidRPr="00F62D41">
        <w:lastRenderedPageBreak/>
        <w:t>ОРП при МНВОИ КР предоставит эксперту руководство по реализации программы АИФ, обезличенные детальные проектные предложения в электронном формате, а также все необходимые формы оценок, шаблоны и документы, используемые при экспертной оценке.</w:t>
      </w:r>
    </w:p>
    <w:p w14:paraId="4E00EEC6" w14:textId="2AD8BCA8" w:rsidR="00F21175" w:rsidRPr="00BF44D4" w:rsidRDefault="00C568A5" w:rsidP="00F62D41">
      <w:pPr>
        <w:tabs>
          <w:tab w:val="left" w:pos="284"/>
          <w:tab w:val="left" w:pos="426"/>
        </w:tabs>
        <w:jc w:val="both"/>
      </w:pPr>
      <w:r w:rsidRPr="00C568A5">
        <w:t xml:space="preserve">Отдел реализации проекта обеспечит наличие необходимых условий и логистической под-держки для эксперта, включая, помимо прочего, помещение для проведения заседаний экс-пертной группы и доступ к офисным помещениям при необходимости. Для проведения груп-повых обсуждений и консультаций, связанных с рассмотрением </w:t>
      </w:r>
      <w:r w:rsidR="00F62D41">
        <w:t>под</w:t>
      </w:r>
      <w:r w:rsidRPr="00C568A5">
        <w:t>проектов AИФ, ОРП предоставит доступ к конференц-залу или организует виртуальные встречи через официаль-но назначенные онлайн-платформы.</w:t>
      </w:r>
    </w:p>
    <w:p w14:paraId="14D50237" w14:textId="77777777" w:rsidR="00F21175" w:rsidRPr="00BF44D4" w:rsidRDefault="00F21175" w:rsidP="00F21175">
      <w:pPr>
        <w:tabs>
          <w:tab w:val="left" w:pos="284"/>
          <w:tab w:val="left" w:pos="426"/>
        </w:tabs>
        <w:jc w:val="both"/>
      </w:pPr>
    </w:p>
    <w:p w14:paraId="4AC2BB1E" w14:textId="271465A2" w:rsidR="00F21175" w:rsidRPr="00BF44D4" w:rsidRDefault="00F21175" w:rsidP="00F21175">
      <w:pPr>
        <w:suppressAutoHyphens/>
        <w:jc w:val="both"/>
        <w:rPr>
          <w:b/>
        </w:rPr>
      </w:pPr>
      <w:r w:rsidRPr="00BF44D4">
        <w:rPr>
          <w:b/>
        </w:rPr>
        <w:t>9. Квалификационные требования и критерии оценки</w:t>
      </w:r>
    </w:p>
    <w:p w14:paraId="2B913E26" w14:textId="77777777" w:rsidR="00F21175" w:rsidRPr="00BF44D4" w:rsidRDefault="00F21175" w:rsidP="00F21175">
      <w:pPr>
        <w:pStyle w:val="a7"/>
        <w:spacing w:before="0" w:beforeAutospacing="0" w:after="0" w:afterAutospacing="0"/>
        <w:jc w:val="both"/>
        <w:rPr>
          <w:rStyle w:val="a6"/>
          <w:rFonts w:ascii="Arial" w:hAnsi="Arial" w:cs="Arial"/>
          <w:b w:val="0"/>
          <w:bCs w:val="0"/>
          <w:sz w:val="22"/>
          <w:szCs w:val="22"/>
        </w:rPr>
      </w:pPr>
    </w:p>
    <w:p w14:paraId="0FFC994F" w14:textId="78F0B94D" w:rsidR="008621C7" w:rsidRPr="00F654D8" w:rsidRDefault="00CF669C" w:rsidP="00BC7F50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654D8">
        <w:rPr>
          <w:rFonts w:ascii="Arial" w:hAnsi="Arial" w:cs="Arial"/>
          <w:sz w:val="22"/>
          <w:szCs w:val="22"/>
        </w:rPr>
        <w:t xml:space="preserve">Высшее образование в сфере </w:t>
      </w:r>
      <w:r w:rsidR="00EC5937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>медицински</w:t>
      </w:r>
      <w:r w:rsidR="00E3097B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>, фармацевтически</w:t>
      </w:r>
      <w:r w:rsidR="00E3097B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 xml:space="preserve"> и биотехнологически</w:t>
      </w:r>
      <w:r w:rsidR="00E3097B" w:rsidRPr="00F654D8">
        <w:rPr>
          <w:rStyle w:val="a6"/>
          <w:rFonts w:ascii="Arial" w:hAnsi="Arial" w:cs="Arial"/>
          <w:b w:val="0"/>
          <w:bCs w:val="0"/>
          <w:sz w:val="22"/>
          <w:szCs w:val="22"/>
        </w:rPr>
        <w:t>х</w:t>
      </w:r>
      <w:r w:rsidR="00EC5937" w:rsidRPr="00F654D8">
        <w:rPr>
          <w:rFonts w:ascii="Arial" w:hAnsi="Arial" w:cs="Arial"/>
          <w:sz w:val="22"/>
          <w:szCs w:val="22"/>
        </w:rPr>
        <w:t xml:space="preserve"> </w:t>
      </w:r>
      <w:r w:rsidR="00F016B2" w:rsidRPr="00F654D8">
        <w:rPr>
          <w:rFonts w:ascii="Arial" w:hAnsi="Arial" w:cs="Arial"/>
          <w:sz w:val="22"/>
          <w:szCs w:val="22"/>
        </w:rPr>
        <w:t>наук</w:t>
      </w:r>
      <w:r w:rsidR="00DC4B00" w:rsidRPr="00F654D8">
        <w:rPr>
          <w:rFonts w:ascii="Arial" w:hAnsi="Arial" w:cs="Arial"/>
          <w:sz w:val="22"/>
          <w:szCs w:val="22"/>
        </w:rPr>
        <w:t xml:space="preserve">. </w:t>
      </w:r>
      <w:r w:rsidR="00243178" w:rsidRPr="00BF44D4">
        <w:rPr>
          <w:rFonts w:ascii="Arial" w:hAnsi="Arial" w:cs="Arial"/>
          <w:sz w:val="22"/>
          <w:szCs w:val="22"/>
        </w:rPr>
        <w:t>Наличие степени магистра или учёной степени (</w:t>
      </w:r>
      <w:r w:rsidR="00243178" w:rsidRPr="00BF44D4">
        <w:rPr>
          <w:rFonts w:ascii="Arial" w:hAnsi="Arial" w:cs="Arial"/>
          <w:sz w:val="22"/>
          <w:szCs w:val="22"/>
          <w:lang w:val="en-US"/>
        </w:rPr>
        <w:t>PhD</w:t>
      </w:r>
      <w:r w:rsidR="00243178" w:rsidRPr="00BF44D4">
        <w:rPr>
          <w:rFonts w:ascii="Arial" w:hAnsi="Arial" w:cs="Arial"/>
          <w:sz w:val="22"/>
          <w:szCs w:val="22"/>
        </w:rPr>
        <w:t>, кандидат или доктор наук) в соответствующей или смежной области является преимуществом</w:t>
      </w:r>
      <w:r w:rsidR="00243178">
        <w:rPr>
          <w:rFonts w:ascii="Arial" w:hAnsi="Arial" w:cs="Arial"/>
          <w:sz w:val="22"/>
          <w:szCs w:val="22"/>
        </w:rPr>
        <w:t>.</w:t>
      </w:r>
    </w:p>
    <w:p w14:paraId="5DEAA08B" w14:textId="0291616B" w:rsidR="004E71FA" w:rsidRPr="008E7FEE" w:rsidRDefault="004E71FA" w:rsidP="004E71FA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DA590C">
        <w:rPr>
          <w:rFonts w:ascii="Arial" w:hAnsi="Arial" w:cs="Arial"/>
          <w:sz w:val="22"/>
          <w:szCs w:val="22"/>
        </w:rPr>
        <w:t xml:space="preserve">Минимум 10 лет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опыта</w:t>
      </w:r>
      <w:r w:rsidRPr="00DA590C">
        <w:rPr>
          <w:rFonts w:ascii="Arial" w:hAnsi="Arial" w:cs="Arial"/>
          <w:sz w:val="22"/>
          <w:szCs w:val="22"/>
        </w:rPr>
        <w:t xml:space="preserve"> в области </w:t>
      </w:r>
      <w:r w:rsidRPr="00DA590C">
        <w:rPr>
          <w:rStyle w:val="a6"/>
          <w:rFonts w:ascii="Arial" w:hAnsi="Arial" w:cs="Arial"/>
          <w:b w:val="0"/>
          <w:bCs w:val="0"/>
          <w:sz w:val="22"/>
          <w:szCs w:val="22"/>
        </w:rPr>
        <w:t>академической, исследовательской или инновационной деятельности</w:t>
      </w:r>
      <w:r w:rsidRPr="00DA590C">
        <w:rPr>
          <w:rFonts w:ascii="Arial" w:hAnsi="Arial" w:cs="Arial"/>
          <w:sz w:val="22"/>
          <w:szCs w:val="22"/>
        </w:rPr>
        <w:t>, включая участие в проектах развития образования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A590C">
        <w:rPr>
          <w:rFonts w:ascii="Arial" w:hAnsi="Arial" w:cs="Arial"/>
          <w:sz w:val="22"/>
          <w:szCs w:val="22"/>
        </w:rPr>
        <w:t xml:space="preserve">науки. </w:t>
      </w:r>
    </w:p>
    <w:p w14:paraId="0D1DD502" w14:textId="1E52F2D5" w:rsidR="004E71FA" w:rsidRDefault="004E71FA" w:rsidP="004E71FA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Опыт взаимодействия с промышленными, образовательными и общественными партнёрами (включая сотрудничество в формате «вуз–индустрия»).</w:t>
      </w:r>
      <w:r w:rsidRPr="00BF44D4">
        <w:t xml:space="preserve"> </w:t>
      </w:r>
    </w:p>
    <w:p w14:paraId="4C815F67" w14:textId="6F3A8841" w:rsidR="004E71FA" w:rsidRPr="00BF44D4" w:rsidRDefault="004E71FA" w:rsidP="004E71FA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 w:rsidRPr="00BF44D4">
        <w:rPr>
          <w:lang w:eastAsia="ru-RU"/>
        </w:rPr>
        <w:t>Опыт разработки или модернизации образовательных программ, внедрения инновационных методик обучения и цифровых технологий.</w:t>
      </w:r>
      <w:r w:rsidRPr="00BF44D4">
        <w:t xml:space="preserve"> </w:t>
      </w:r>
    </w:p>
    <w:p w14:paraId="1A35DCAB" w14:textId="338A2345" w:rsidR="004E71FA" w:rsidRPr="00BF44D4" w:rsidRDefault="004E71FA" w:rsidP="004E71FA">
      <w:pPr>
        <w:pStyle w:val="a4"/>
        <w:numPr>
          <w:ilvl w:val="0"/>
          <w:numId w:val="6"/>
        </w:numPr>
        <w:contextualSpacing w:val="0"/>
        <w:jc w:val="both"/>
        <w:rPr>
          <w:lang w:eastAsia="ru-RU"/>
        </w:rPr>
      </w:pPr>
      <w:r>
        <w:rPr>
          <w:lang w:eastAsia="ru-RU"/>
        </w:rPr>
        <w:t xml:space="preserve"> Опыт р</w:t>
      </w:r>
      <w:r w:rsidRPr="00BF44D4">
        <w:rPr>
          <w:lang w:eastAsia="ru-RU"/>
        </w:rPr>
        <w:t>уководств</w:t>
      </w:r>
      <w:r>
        <w:rPr>
          <w:lang w:eastAsia="ru-RU"/>
        </w:rPr>
        <w:t>а</w:t>
      </w:r>
      <w:r w:rsidRPr="00BF44D4">
        <w:rPr>
          <w:lang w:eastAsia="ru-RU"/>
        </w:rPr>
        <w:t xml:space="preserve"> исследовательскими проектами, лабораториями, академическими программами или инновационными инициативами.</w:t>
      </w:r>
      <w:r w:rsidRPr="00BF44D4">
        <w:t xml:space="preserve"> </w:t>
      </w:r>
    </w:p>
    <w:p w14:paraId="1F5F5554" w14:textId="5577D912" w:rsidR="004E71FA" w:rsidRDefault="004E71FA" w:rsidP="004E71FA">
      <w:pPr>
        <w:pStyle w:val="a4"/>
        <w:numPr>
          <w:ilvl w:val="0"/>
          <w:numId w:val="6"/>
        </w:numPr>
        <w:contextualSpacing w:val="0"/>
        <w:jc w:val="both"/>
        <w:rPr>
          <w:i/>
          <w:iCs/>
          <w:lang w:eastAsia="ru-RU"/>
        </w:rPr>
      </w:pPr>
      <w:r w:rsidRPr="00BF44D4">
        <w:rPr>
          <w:lang w:eastAsia="ru-RU"/>
        </w:rPr>
        <w:t>Признанная профессиональная репутация, подтверждённая участием в научных советах, экспертных сообществах или профессиональных ассоциациях.</w:t>
      </w:r>
      <w:r>
        <w:rPr>
          <w:lang w:eastAsia="ru-RU"/>
        </w:rPr>
        <w:t xml:space="preserve"> </w:t>
      </w:r>
      <w:r w:rsidRPr="00BF44D4">
        <w:t xml:space="preserve">Наличие </w:t>
      </w:r>
      <w:r>
        <w:t>п</w:t>
      </w:r>
      <w:r w:rsidRPr="00BF44D4">
        <w:t>убликаци</w:t>
      </w:r>
      <w:r>
        <w:t>й</w:t>
      </w:r>
      <w:r w:rsidRPr="00BF44D4">
        <w:t xml:space="preserve"> в рецензируемых национальных или международных научных изданиях по соответствующей области экспертизы является преимуществом</w:t>
      </w:r>
      <w:r>
        <w:t>.</w:t>
      </w:r>
      <w:r w:rsidRPr="00BF44D4">
        <w:t xml:space="preserve"> </w:t>
      </w:r>
    </w:p>
    <w:p w14:paraId="27593CC0" w14:textId="71CF5A8F" w:rsidR="004E71FA" w:rsidRDefault="004E71FA" w:rsidP="004E71FA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BF44D4">
        <w:rPr>
          <w:rFonts w:ascii="Arial" w:hAnsi="Arial" w:cs="Arial"/>
          <w:sz w:val="22"/>
          <w:szCs w:val="22"/>
        </w:rPr>
        <w:t>Знание кыргызского языка для работы с проектной документацией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7C654C" w14:textId="77777777" w:rsidR="004E71FA" w:rsidRPr="00BF44D4" w:rsidRDefault="004E71FA" w:rsidP="004E71FA">
      <w:pPr>
        <w:pStyle w:val="a7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bookmarkEnd w:id="0"/>
    <w:p w14:paraId="74EC8CFB" w14:textId="33CCEDF6" w:rsidR="00CF669C" w:rsidRPr="006875AA" w:rsidRDefault="00CF669C" w:rsidP="004E71FA">
      <w:pPr>
        <w:pStyle w:val="a7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CF669C" w:rsidRPr="006875AA" w:rsidSect="004C664C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5509" w14:textId="77777777" w:rsidR="002A3209" w:rsidRDefault="002A3209" w:rsidP="00744E1D">
      <w:r>
        <w:separator/>
      </w:r>
    </w:p>
  </w:endnote>
  <w:endnote w:type="continuationSeparator" w:id="0">
    <w:p w14:paraId="4239EDB8" w14:textId="77777777" w:rsidR="002A3209" w:rsidRDefault="002A3209" w:rsidP="007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846221"/>
      <w:docPartObj>
        <w:docPartGallery w:val="Page Numbers (Bottom of Page)"/>
        <w:docPartUnique/>
      </w:docPartObj>
    </w:sdtPr>
    <w:sdtContent>
      <w:p w14:paraId="3383A35B" w14:textId="03E4A5ED" w:rsidR="00AF2134" w:rsidRDefault="00AF2134" w:rsidP="00AF213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6E54" w14:textId="77777777" w:rsidR="002A3209" w:rsidRDefault="002A3209" w:rsidP="00744E1D">
      <w:r>
        <w:separator/>
      </w:r>
    </w:p>
  </w:footnote>
  <w:footnote w:type="continuationSeparator" w:id="0">
    <w:p w14:paraId="297BAD44" w14:textId="77777777" w:rsidR="002A3209" w:rsidRDefault="002A3209" w:rsidP="0074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063B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34074"/>
    <w:multiLevelType w:val="hybridMultilevel"/>
    <w:tmpl w:val="AD5E8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CEB"/>
    <w:multiLevelType w:val="multilevel"/>
    <w:tmpl w:val="25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6979"/>
    <w:multiLevelType w:val="multilevel"/>
    <w:tmpl w:val="7FEC0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1B25"/>
    <w:multiLevelType w:val="hybridMultilevel"/>
    <w:tmpl w:val="F61AF7A0"/>
    <w:lvl w:ilvl="0" w:tplc="6136C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2D0"/>
    <w:multiLevelType w:val="hybridMultilevel"/>
    <w:tmpl w:val="3A94B9C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F13F71"/>
    <w:multiLevelType w:val="multilevel"/>
    <w:tmpl w:val="FEEE85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80AC1"/>
    <w:multiLevelType w:val="hybridMultilevel"/>
    <w:tmpl w:val="A2644F1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57436"/>
    <w:multiLevelType w:val="multilevel"/>
    <w:tmpl w:val="533EFC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E68F2"/>
    <w:multiLevelType w:val="multilevel"/>
    <w:tmpl w:val="172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1858"/>
    <w:multiLevelType w:val="hybridMultilevel"/>
    <w:tmpl w:val="E6FCCD3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2843"/>
    <w:multiLevelType w:val="hybridMultilevel"/>
    <w:tmpl w:val="96B4DAB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639A"/>
    <w:multiLevelType w:val="hybridMultilevel"/>
    <w:tmpl w:val="B3EA8F96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83889"/>
    <w:multiLevelType w:val="hybridMultilevel"/>
    <w:tmpl w:val="1DDC05DA"/>
    <w:lvl w:ilvl="0" w:tplc="5C8E418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D76635"/>
    <w:multiLevelType w:val="multilevel"/>
    <w:tmpl w:val="9C4A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87521"/>
    <w:multiLevelType w:val="hybridMultilevel"/>
    <w:tmpl w:val="6FE8B816"/>
    <w:lvl w:ilvl="0" w:tplc="6136C84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2B73A7"/>
    <w:multiLevelType w:val="hybridMultilevel"/>
    <w:tmpl w:val="48E6175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A15CEC"/>
    <w:multiLevelType w:val="hybridMultilevel"/>
    <w:tmpl w:val="1E8E9DBC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11BC"/>
    <w:multiLevelType w:val="hybridMultilevel"/>
    <w:tmpl w:val="10DE76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AB8E6C2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351BE"/>
    <w:multiLevelType w:val="multilevel"/>
    <w:tmpl w:val="6A08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63807"/>
    <w:multiLevelType w:val="hybridMultilevel"/>
    <w:tmpl w:val="7D42DFB4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868D2"/>
    <w:multiLevelType w:val="hybridMultilevel"/>
    <w:tmpl w:val="39B09BFE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E310B"/>
    <w:multiLevelType w:val="multilevel"/>
    <w:tmpl w:val="59B62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5042FA"/>
    <w:multiLevelType w:val="hybridMultilevel"/>
    <w:tmpl w:val="4692AF22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3B4"/>
    <w:multiLevelType w:val="hybridMultilevel"/>
    <w:tmpl w:val="5740A80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36066"/>
    <w:multiLevelType w:val="hybridMultilevel"/>
    <w:tmpl w:val="7D54A53A"/>
    <w:lvl w:ilvl="0" w:tplc="E6E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E0E"/>
    <w:multiLevelType w:val="hybridMultilevel"/>
    <w:tmpl w:val="64B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2D53"/>
    <w:multiLevelType w:val="hybridMultilevel"/>
    <w:tmpl w:val="E9BA03D6"/>
    <w:lvl w:ilvl="0" w:tplc="5C8E4184">
      <w:start w:val="1"/>
      <w:numFmt w:val="lowerLetter"/>
      <w:lvlText w:val="(%1)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8C11F1"/>
    <w:multiLevelType w:val="hybridMultilevel"/>
    <w:tmpl w:val="F9FCDF46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7600444">
    <w:abstractNumId w:val="21"/>
  </w:num>
  <w:num w:numId="2" w16cid:durableId="1836219213">
    <w:abstractNumId w:val="26"/>
  </w:num>
  <w:num w:numId="3" w16cid:durableId="633754759">
    <w:abstractNumId w:val="0"/>
  </w:num>
  <w:num w:numId="4" w16cid:durableId="227232031">
    <w:abstractNumId w:val="13"/>
  </w:num>
  <w:num w:numId="5" w16cid:durableId="2007779465">
    <w:abstractNumId w:val="24"/>
  </w:num>
  <w:num w:numId="6" w16cid:durableId="1964118222">
    <w:abstractNumId w:val="8"/>
  </w:num>
  <w:num w:numId="7" w16cid:durableId="1734113370">
    <w:abstractNumId w:val="12"/>
  </w:num>
  <w:num w:numId="8" w16cid:durableId="1534027884">
    <w:abstractNumId w:val="6"/>
  </w:num>
  <w:num w:numId="9" w16cid:durableId="1316841036">
    <w:abstractNumId w:val="25"/>
  </w:num>
  <w:num w:numId="10" w16cid:durableId="756754627">
    <w:abstractNumId w:val="7"/>
  </w:num>
  <w:num w:numId="11" w16cid:durableId="218245785">
    <w:abstractNumId w:val="11"/>
  </w:num>
  <w:num w:numId="12" w16cid:durableId="1603224970">
    <w:abstractNumId w:val="3"/>
  </w:num>
  <w:num w:numId="13" w16cid:durableId="292098386">
    <w:abstractNumId w:val="10"/>
  </w:num>
  <w:num w:numId="14" w16cid:durableId="1172721269">
    <w:abstractNumId w:val="2"/>
  </w:num>
  <w:num w:numId="15" w16cid:durableId="1244217001">
    <w:abstractNumId w:val="9"/>
  </w:num>
  <w:num w:numId="16" w16cid:durableId="927927212">
    <w:abstractNumId w:val="29"/>
  </w:num>
  <w:num w:numId="17" w16cid:durableId="364647012">
    <w:abstractNumId w:val="28"/>
  </w:num>
  <w:num w:numId="18" w16cid:durableId="663894676">
    <w:abstractNumId w:val="14"/>
  </w:num>
  <w:num w:numId="19" w16cid:durableId="66922167">
    <w:abstractNumId w:val="1"/>
  </w:num>
  <w:num w:numId="20" w16cid:durableId="659696767">
    <w:abstractNumId w:val="4"/>
  </w:num>
  <w:num w:numId="21" w16cid:durableId="1145707292">
    <w:abstractNumId w:val="16"/>
  </w:num>
  <w:num w:numId="22" w16cid:durableId="1757941072">
    <w:abstractNumId w:val="19"/>
  </w:num>
  <w:num w:numId="23" w16cid:durableId="1850371030">
    <w:abstractNumId w:val="17"/>
  </w:num>
  <w:num w:numId="24" w16cid:durableId="272828273">
    <w:abstractNumId w:val="5"/>
  </w:num>
  <w:num w:numId="25" w16cid:durableId="242836260">
    <w:abstractNumId w:val="22"/>
  </w:num>
  <w:num w:numId="26" w16cid:durableId="1474367695">
    <w:abstractNumId w:val="23"/>
  </w:num>
  <w:num w:numId="27" w16cid:durableId="697464078">
    <w:abstractNumId w:val="18"/>
  </w:num>
  <w:num w:numId="28" w16cid:durableId="1367100177">
    <w:abstractNumId w:val="27"/>
  </w:num>
  <w:num w:numId="29" w16cid:durableId="477767372">
    <w:abstractNumId w:val="20"/>
  </w:num>
  <w:num w:numId="30" w16cid:durableId="11400708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E2"/>
    <w:rsid w:val="00021EB4"/>
    <w:rsid w:val="00030A4B"/>
    <w:rsid w:val="00031336"/>
    <w:rsid w:val="000403B3"/>
    <w:rsid w:val="00045881"/>
    <w:rsid w:val="000529B7"/>
    <w:rsid w:val="00067016"/>
    <w:rsid w:val="00070565"/>
    <w:rsid w:val="00082759"/>
    <w:rsid w:val="00090E31"/>
    <w:rsid w:val="000B55F0"/>
    <w:rsid w:val="000C2491"/>
    <w:rsid w:val="000D26B6"/>
    <w:rsid w:val="000D6316"/>
    <w:rsid w:val="000D7D6B"/>
    <w:rsid w:val="000F7A2A"/>
    <w:rsid w:val="001012CA"/>
    <w:rsid w:val="00104990"/>
    <w:rsid w:val="00107402"/>
    <w:rsid w:val="00136D78"/>
    <w:rsid w:val="00144EE9"/>
    <w:rsid w:val="00150EA3"/>
    <w:rsid w:val="00153EC6"/>
    <w:rsid w:val="0015763C"/>
    <w:rsid w:val="00157ADA"/>
    <w:rsid w:val="0016334F"/>
    <w:rsid w:val="00164CBC"/>
    <w:rsid w:val="00167FBE"/>
    <w:rsid w:val="00170DE7"/>
    <w:rsid w:val="001719F6"/>
    <w:rsid w:val="001831AA"/>
    <w:rsid w:val="001A4D17"/>
    <w:rsid w:val="001B3A43"/>
    <w:rsid w:val="001B46B2"/>
    <w:rsid w:val="001B47E6"/>
    <w:rsid w:val="001B6330"/>
    <w:rsid w:val="001C6647"/>
    <w:rsid w:val="001C6827"/>
    <w:rsid w:val="001D0F60"/>
    <w:rsid w:val="001D4851"/>
    <w:rsid w:val="001D6C14"/>
    <w:rsid w:val="001E034C"/>
    <w:rsid w:val="001E6716"/>
    <w:rsid w:val="001F1752"/>
    <w:rsid w:val="001F7FDC"/>
    <w:rsid w:val="0020475D"/>
    <w:rsid w:val="0020535B"/>
    <w:rsid w:val="00212A7A"/>
    <w:rsid w:val="0021421E"/>
    <w:rsid w:val="00221CC7"/>
    <w:rsid w:val="00224331"/>
    <w:rsid w:val="00234ECB"/>
    <w:rsid w:val="0023505C"/>
    <w:rsid w:val="0023681A"/>
    <w:rsid w:val="00242B01"/>
    <w:rsid w:val="00243178"/>
    <w:rsid w:val="002502FD"/>
    <w:rsid w:val="002505AD"/>
    <w:rsid w:val="00251445"/>
    <w:rsid w:val="00254D48"/>
    <w:rsid w:val="002625A1"/>
    <w:rsid w:val="00262E55"/>
    <w:rsid w:val="00265DEE"/>
    <w:rsid w:val="0026790C"/>
    <w:rsid w:val="00274C68"/>
    <w:rsid w:val="00275137"/>
    <w:rsid w:val="00283BB1"/>
    <w:rsid w:val="00287ABD"/>
    <w:rsid w:val="0029005A"/>
    <w:rsid w:val="00291C20"/>
    <w:rsid w:val="0029614A"/>
    <w:rsid w:val="002A3209"/>
    <w:rsid w:val="002A66D8"/>
    <w:rsid w:val="002B090F"/>
    <w:rsid w:val="002C45BE"/>
    <w:rsid w:val="002C6640"/>
    <w:rsid w:val="002D7399"/>
    <w:rsid w:val="002E40A2"/>
    <w:rsid w:val="002F6978"/>
    <w:rsid w:val="0030216F"/>
    <w:rsid w:val="00306222"/>
    <w:rsid w:val="00306FE7"/>
    <w:rsid w:val="00315351"/>
    <w:rsid w:val="00316090"/>
    <w:rsid w:val="00317ADC"/>
    <w:rsid w:val="00320D5F"/>
    <w:rsid w:val="003236D4"/>
    <w:rsid w:val="003246BF"/>
    <w:rsid w:val="00333F07"/>
    <w:rsid w:val="00343D97"/>
    <w:rsid w:val="00346751"/>
    <w:rsid w:val="003632D7"/>
    <w:rsid w:val="00380738"/>
    <w:rsid w:val="003C5F99"/>
    <w:rsid w:val="003E174F"/>
    <w:rsid w:val="003E3164"/>
    <w:rsid w:val="00406B4D"/>
    <w:rsid w:val="004116AF"/>
    <w:rsid w:val="00446877"/>
    <w:rsid w:val="0045176F"/>
    <w:rsid w:val="00451812"/>
    <w:rsid w:val="00453D34"/>
    <w:rsid w:val="004552FC"/>
    <w:rsid w:val="004570B4"/>
    <w:rsid w:val="00457902"/>
    <w:rsid w:val="00462D49"/>
    <w:rsid w:val="00470C27"/>
    <w:rsid w:val="00471FB4"/>
    <w:rsid w:val="004741CB"/>
    <w:rsid w:val="004742AD"/>
    <w:rsid w:val="004743D3"/>
    <w:rsid w:val="00480CB4"/>
    <w:rsid w:val="00482505"/>
    <w:rsid w:val="00485150"/>
    <w:rsid w:val="00485C57"/>
    <w:rsid w:val="00487953"/>
    <w:rsid w:val="00487B08"/>
    <w:rsid w:val="00496DD0"/>
    <w:rsid w:val="004A57EE"/>
    <w:rsid w:val="004A6800"/>
    <w:rsid w:val="004B095F"/>
    <w:rsid w:val="004B15E0"/>
    <w:rsid w:val="004B17E5"/>
    <w:rsid w:val="004B6206"/>
    <w:rsid w:val="004C3AAD"/>
    <w:rsid w:val="004C459B"/>
    <w:rsid w:val="004C6472"/>
    <w:rsid w:val="004C664C"/>
    <w:rsid w:val="004C66CC"/>
    <w:rsid w:val="004C707B"/>
    <w:rsid w:val="004D2F4B"/>
    <w:rsid w:val="004D4517"/>
    <w:rsid w:val="004D6BE0"/>
    <w:rsid w:val="004E1BCC"/>
    <w:rsid w:val="004E23E6"/>
    <w:rsid w:val="004E260E"/>
    <w:rsid w:val="004E71FA"/>
    <w:rsid w:val="004F3D58"/>
    <w:rsid w:val="005002AB"/>
    <w:rsid w:val="00503431"/>
    <w:rsid w:val="00504F62"/>
    <w:rsid w:val="00512D2F"/>
    <w:rsid w:val="005266DC"/>
    <w:rsid w:val="00540073"/>
    <w:rsid w:val="0054251B"/>
    <w:rsid w:val="00566474"/>
    <w:rsid w:val="00576B80"/>
    <w:rsid w:val="005876F4"/>
    <w:rsid w:val="005966EB"/>
    <w:rsid w:val="005A365C"/>
    <w:rsid w:val="005B22E1"/>
    <w:rsid w:val="005B625B"/>
    <w:rsid w:val="005C63C8"/>
    <w:rsid w:val="005D0CB6"/>
    <w:rsid w:val="005D48E2"/>
    <w:rsid w:val="005E2492"/>
    <w:rsid w:val="005E4A42"/>
    <w:rsid w:val="005E6441"/>
    <w:rsid w:val="005F64D3"/>
    <w:rsid w:val="00604E3F"/>
    <w:rsid w:val="00616B3B"/>
    <w:rsid w:val="006174CC"/>
    <w:rsid w:val="00623936"/>
    <w:rsid w:val="0062672B"/>
    <w:rsid w:val="0063454F"/>
    <w:rsid w:val="006345F4"/>
    <w:rsid w:val="00646375"/>
    <w:rsid w:val="006466F8"/>
    <w:rsid w:val="006739C1"/>
    <w:rsid w:val="006763AF"/>
    <w:rsid w:val="00680254"/>
    <w:rsid w:val="006809DD"/>
    <w:rsid w:val="00680E03"/>
    <w:rsid w:val="006811FB"/>
    <w:rsid w:val="0068440E"/>
    <w:rsid w:val="006875AA"/>
    <w:rsid w:val="006A1065"/>
    <w:rsid w:val="006A3177"/>
    <w:rsid w:val="006A6F5E"/>
    <w:rsid w:val="006B4E77"/>
    <w:rsid w:val="006B6DBD"/>
    <w:rsid w:val="006D60DC"/>
    <w:rsid w:val="006D6987"/>
    <w:rsid w:val="006E2A13"/>
    <w:rsid w:val="006E4344"/>
    <w:rsid w:val="006F073B"/>
    <w:rsid w:val="006F65B8"/>
    <w:rsid w:val="00703F23"/>
    <w:rsid w:val="007140A5"/>
    <w:rsid w:val="007234F1"/>
    <w:rsid w:val="00730F1D"/>
    <w:rsid w:val="00734BF4"/>
    <w:rsid w:val="00735AFF"/>
    <w:rsid w:val="0074307F"/>
    <w:rsid w:val="00744E1D"/>
    <w:rsid w:val="00752C7E"/>
    <w:rsid w:val="0075498A"/>
    <w:rsid w:val="00776852"/>
    <w:rsid w:val="00782CC2"/>
    <w:rsid w:val="00787D42"/>
    <w:rsid w:val="0079192A"/>
    <w:rsid w:val="00791E1D"/>
    <w:rsid w:val="00794CED"/>
    <w:rsid w:val="007B3568"/>
    <w:rsid w:val="007B37F5"/>
    <w:rsid w:val="007B3D35"/>
    <w:rsid w:val="007B730D"/>
    <w:rsid w:val="007D09EF"/>
    <w:rsid w:val="007D7944"/>
    <w:rsid w:val="007D7EF7"/>
    <w:rsid w:val="00810782"/>
    <w:rsid w:val="008150D9"/>
    <w:rsid w:val="00815E77"/>
    <w:rsid w:val="008332B0"/>
    <w:rsid w:val="00833762"/>
    <w:rsid w:val="00843CB3"/>
    <w:rsid w:val="00850392"/>
    <w:rsid w:val="008508E3"/>
    <w:rsid w:val="0086010C"/>
    <w:rsid w:val="008617E7"/>
    <w:rsid w:val="008621C7"/>
    <w:rsid w:val="00873813"/>
    <w:rsid w:val="00874816"/>
    <w:rsid w:val="008750E9"/>
    <w:rsid w:val="00875547"/>
    <w:rsid w:val="00887227"/>
    <w:rsid w:val="008957EB"/>
    <w:rsid w:val="00895DEF"/>
    <w:rsid w:val="008972FB"/>
    <w:rsid w:val="008A0C54"/>
    <w:rsid w:val="008B41F4"/>
    <w:rsid w:val="008C5775"/>
    <w:rsid w:val="008E1C47"/>
    <w:rsid w:val="008E71E0"/>
    <w:rsid w:val="008F4B9B"/>
    <w:rsid w:val="008F56EF"/>
    <w:rsid w:val="008F7C6A"/>
    <w:rsid w:val="009123BF"/>
    <w:rsid w:val="00914264"/>
    <w:rsid w:val="0091543A"/>
    <w:rsid w:val="00923E05"/>
    <w:rsid w:val="009240F4"/>
    <w:rsid w:val="009245D1"/>
    <w:rsid w:val="00924BA6"/>
    <w:rsid w:val="00937FBC"/>
    <w:rsid w:val="009449E4"/>
    <w:rsid w:val="009504BA"/>
    <w:rsid w:val="009545B1"/>
    <w:rsid w:val="00954AE6"/>
    <w:rsid w:val="00973C80"/>
    <w:rsid w:val="00997995"/>
    <w:rsid w:val="00997C63"/>
    <w:rsid w:val="009A0343"/>
    <w:rsid w:val="009B3BC8"/>
    <w:rsid w:val="009B4C01"/>
    <w:rsid w:val="009C3501"/>
    <w:rsid w:val="009C3ECD"/>
    <w:rsid w:val="009D6072"/>
    <w:rsid w:val="009E1FFB"/>
    <w:rsid w:val="009F09CD"/>
    <w:rsid w:val="009F2816"/>
    <w:rsid w:val="00A01023"/>
    <w:rsid w:val="00A351CF"/>
    <w:rsid w:val="00A45E5B"/>
    <w:rsid w:val="00A546DF"/>
    <w:rsid w:val="00A57550"/>
    <w:rsid w:val="00A75D67"/>
    <w:rsid w:val="00A761A3"/>
    <w:rsid w:val="00A77F6B"/>
    <w:rsid w:val="00A91DB9"/>
    <w:rsid w:val="00A94D26"/>
    <w:rsid w:val="00AA35C5"/>
    <w:rsid w:val="00AA7A07"/>
    <w:rsid w:val="00AB0859"/>
    <w:rsid w:val="00AB0DAC"/>
    <w:rsid w:val="00AB43DC"/>
    <w:rsid w:val="00AB501B"/>
    <w:rsid w:val="00AB70C4"/>
    <w:rsid w:val="00AC0401"/>
    <w:rsid w:val="00AC502C"/>
    <w:rsid w:val="00AD3FD7"/>
    <w:rsid w:val="00AD685A"/>
    <w:rsid w:val="00AF2134"/>
    <w:rsid w:val="00B03A1E"/>
    <w:rsid w:val="00B165B1"/>
    <w:rsid w:val="00B24986"/>
    <w:rsid w:val="00B260CD"/>
    <w:rsid w:val="00B279EF"/>
    <w:rsid w:val="00B415C0"/>
    <w:rsid w:val="00B44944"/>
    <w:rsid w:val="00B74C6A"/>
    <w:rsid w:val="00B9506E"/>
    <w:rsid w:val="00BD0FCF"/>
    <w:rsid w:val="00BD1684"/>
    <w:rsid w:val="00BD24BF"/>
    <w:rsid w:val="00BD31C7"/>
    <w:rsid w:val="00BF2603"/>
    <w:rsid w:val="00BF3CC6"/>
    <w:rsid w:val="00BF5257"/>
    <w:rsid w:val="00C077EF"/>
    <w:rsid w:val="00C1739C"/>
    <w:rsid w:val="00C17879"/>
    <w:rsid w:val="00C2037C"/>
    <w:rsid w:val="00C23591"/>
    <w:rsid w:val="00C27BE3"/>
    <w:rsid w:val="00C43866"/>
    <w:rsid w:val="00C545B2"/>
    <w:rsid w:val="00C568A5"/>
    <w:rsid w:val="00C72E82"/>
    <w:rsid w:val="00C748BE"/>
    <w:rsid w:val="00C756C8"/>
    <w:rsid w:val="00C8177D"/>
    <w:rsid w:val="00C81F52"/>
    <w:rsid w:val="00CA11B5"/>
    <w:rsid w:val="00CA1542"/>
    <w:rsid w:val="00CB1002"/>
    <w:rsid w:val="00CB4F7C"/>
    <w:rsid w:val="00CC7815"/>
    <w:rsid w:val="00CD7C1C"/>
    <w:rsid w:val="00CD7DB5"/>
    <w:rsid w:val="00CE1D9A"/>
    <w:rsid w:val="00CE4E93"/>
    <w:rsid w:val="00CE76BA"/>
    <w:rsid w:val="00CF33C0"/>
    <w:rsid w:val="00CF669C"/>
    <w:rsid w:val="00CF7603"/>
    <w:rsid w:val="00CF78E9"/>
    <w:rsid w:val="00D13126"/>
    <w:rsid w:val="00D22647"/>
    <w:rsid w:val="00D3591A"/>
    <w:rsid w:val="00D619C5"/>
    <w:rsid w:val="00D631FA"/>
    <w:rsid w:val="00D6662E"/>
    <w:rsid w:val="00D67F29"/>
    <w:rsid w:val="00D93AF0"/>
    <w:rsid w:val="00D94BF5"/>
    <w:rsid w:val="00D95656"/>
    <w:rsid w:val="00DA5276"/>
    <w:rsid w:val="00DA53C4"/>
    <w:rsid w:val="00DB18F4"/>
    <w:rsid w:val="00DB4903"/>
    <w:rsid w:val="00DC4B00"/>
    <w:rsid w:val="00DC7C39"/>
    <w:rsid w:val="00DD5DFF"/>
    <w:rsid w:val="00DE090A"/>
    <w:rsid w:val="00DE2691"/>
    <w:rsid w:val="00DE7CE3"/>
    <w:rsid w:val="00DF1253"/>
    <w:rsid w:val="00E3097B"/>
    <w:rsid w:val="00E36A5A"/>
    <w:rsid w:val="00E37A26"/>
    <w:rsid w:val="00E6601A"/>
    <w:rsid w:val="00E71EFC"/>
    <w:rsid w:val="00E8787F"/>
    <w:rsid w:val="00EA049D"/>
    <w:rsid w:val="00EB3AEB"/>
    <w:rsid w:val="00EB40FE"/>
    <w:rsid w:val="00EC5937"/>
    <w:rsid w:val="00EC689D"/>
    <w:rsid w:val="00EE1034"/>
    <w:rsid w:val="00EE3B92"/>
    <w:rsid w:val="00EF1092"/>
    <w:rsid w:val="00EF259E"/>
    <w:rsid w:val="00F016B2"/>
    <w:rsid w:val="00F01F1E"/>
    <w:rsid w:val="00F03508"/>
    <w:rsid w:val="00F12774"/>
    <w:rsid w:val="00F13E45"/>
    <w:rsid w:val="00F16E6D"/>
    <w:rsid w:val="00F21175"/>
    <w:rsid w:val="00F23A87"/>
    <w:rsid w:val="00F30EA2"/>
    <w:rsid w:val="00F31379"/>
    <w:rsid w:val="00F337FF"/>
    <w:rsid w:val="00F353DA"/>
    <w:rsid w:val="00F40906"/>
    <w:rsid w:val="00F62D41"/>
    <w:rsid w:val="00F654D8"/>
    <w:rsid w:val="00F65FCF"/>
    <w:rsid w:val="00F70A22"/>
    <w:rsid w:val="00F70B1B"/>
    <w:rsid w:val="00F70C6B"/>
    <w:rsid w:val="00F72110"/>
    <w:rsid w:val="00F82F6E"/>
    <w:rsid w:val="00F8349C"/>
    <w:rsid w:val="00F87AAF"/>
    <w:rsid w:val="00F91371"/>
    <w:rsid w:val="00F93E72"/>
    <w:rsid w:val="00FB2868"/>
    <w:rsid w:val="00FB73A9"/>
    <w:rsid w:val="00FC4459"/>
    <w:rsid w:val="00FC53FC"/>
    <w:rsid w:val="00FC7CA6"/>
    <w:rsid w:val="00FE151A"/>
    <w:rsid w:val="00FE77F5"/>
    <w:rsid w:val="00FF4E10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2907E"/>
  <w15:chartTrackingRefBased/>
  <w15:docId w15:val="{898DECB2-5DFA-4E8E-B6C6-661C488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4E1D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131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0"/>
    <w:link w:val="40"/>
    <w:uiPriority w:val="9"/>
    <w:qFormat/>
    <w:rsid w:val="00A75D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0"/>
    <w:link w:val="a5"/>
    <w:uiPriority w:val="34"/>
    <w:qFormat/>
    <w:rsid w:val="00744E1D"/>
    <w:pPr>
      <w:ind w:left="720"/>
      <w:contextualSpacing/>
    </w:pPr>
  </w:style>
  <w:style w:type="character" w:styleId="a6">
    <w:name w:val="Strong"/>
    <w:basedOn w:val="a1"/>
    <w:uiPriority w:val="22"/>
    <w:qFormat/>
    <w:rsid w:val="00744E1D"/>
    <w:rPr>
      <w:b/>
      <w:bCs/>
    </w:rPr>
  </w:style>
  <w:style w:type="paragraph" w:styleId="a7">
    <w:name w:val="Normal (Web)"/>
    <w:basedOn w:val="a0"/>
    <w:uiPriority w:val="99"/>
    <w:unhideWhenUsed/>
    <w:rsid w:val="00744E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744E1D"/>
    <w:rPr>
      <w:kern w:val="2"/>
      <w:sz w:val="20"/>
      <w:szCs w:val="20"/>
      <w14:ligatures w14:val="standardContextual"/>
    </w:rPr>
  </w:style>
  <w:style w:type="character" w:customStyle="1" w:styleId="a9">
    <w:name w:val="Текст сноски Знак"/>
    <w:basedOn w:val="a1"/>
    <w:link w:val="a8"/>
    <w:uiPriority w:val="99"/>
    <w:semiHidden/>
    <w:rsid w:val="00744E1D"/>
    <w:rPr>
      <w:kern w:val="2"/>
      <w:sz w:val="20"/>
      <w:szCs w:val="20"/>
      <w:lang w:val="en-US"/>
      <w14:ligatures w14:val="standardContextual"/>
    </w:rPr>
  </w:style>
  <w:style w:type="character" w:styleId="aa">
    <w:name w:val="footnote reference"/>
    <w:basedOn w:val="a1"/>
    <w:uiPriority w:val="99"/>
    <w:semiHidden/>
    <w:unhideWhenUsed/>
    <w:rsid w:val="00744E1D"/>
    <w:rPr>
      <w:vertAlign w:val="superscript"/>
    </w:rPr>
  </w:style>
  <w:style w:type="paragraph" w:styleId="a">
    <w:name w:val="List Bullet"/>
    <w:basedOn w:val="a0"/>
    <w:uiPriority w:val="99"/>
    <w:unhideWhenUsed/>
    <w:rsid w:val="00446877"/>
    <w:pPr>
      <w:numPr>
        <w:numId w:val="3"/>
      </w:numPr>
      <w:contextualSpacing/>
    </w:pPr>
  </w:style>
  <w:style w:type="paragraph" w:styleId="ab">
    <w:name w:val="List Continue"/>
    <w:basedOn w:val="a0"/>
    <w:uiPriority w:val="99"/>
    <w:unhideWhenUsed/>
    <w:rsid w:val="00446877"/>
    <w:pPr>
      <w:spacing w:after="120"/>
      <w:ind w:left="360"/>
      <w:contextualSpacing/>
    </w:pPr>
  </w:style>
  <w:style w:type="paragraph" w:styleId="ac">
    <w:name w:val="header"/>
    <w:basedOn w:val="a0"/>
    <w:link w:val="ad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B3D35"/>
  </w:style>
  <w:style w:type="paragraph" w:styleId="ae">
    <w:name w:val="footer"/>
    <w:basedOn w:val="a0"/>
    <w:link w:val="af"/>
    <w:uiPriority w:val="99"/>
    <w:unhideWhenUsed/>
    <w:rsid w:val="007B3D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B3D35"/>
  </w:style>
  <w:style w:type="character" w:styleId="af0">
    <w:name w:val="Emphasis"/>
    <w:basedOn w:val="a1"/>
    <w:uiPriority w:val="20"/>
    <w:qFormat/>
    <w:rsid w:val="003E174F"/>
    <w:rPr>
      <w:i/>
      <w:iCs/>
    </w:rPr>
  </w:style>
  <w:style w:type="character" w:customStyle="1" w:styleId="a5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4"/>
    <w:uiPriority w:val="34"/>
    <w:qFormat/>
    <w:locked/>
    <w:rsid w:val="0029005A"/>
  </w:style>
  <w:style w:type="character" w:customStyle="1" w:styleId="40">
    <w:name w:val="Заголовок 4 Знак"/>
    <w:basedOn w:val="a1"/>
    <w:link w:val="4"/>
    <w:uiPriority w:val="9"/>
    <w:rsid w:val="00A75D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D13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1">
    <w:name w:val="Table Grid"/>
    <w:basedOn w:val="a2"/>
    <w:uiPriority w:val="39"/>
    <w:rsid w:val="00F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47032-F016-469D-BD37-E463D3A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Toktogulova</dc:creator>
  <cp:keywords/>
  <dc:description/>
  <cp:lastModifiedBy>Ainura Kenjekaraeva</cp:lastModifiedBy>
  <cp:revision>2</cp:revision>
  <cp:lastPrinted>2025-10-14T09:39:00Z</cp:lastPrinted>
  <dcterms:created xsi:type="dcterms:W3CDTF">2025-12-12T06:48:00Z</dcterms:created>
  <dcterms:modified xsi:type="dcterms:W3CDTF">2025-12-12T06:48:00Z</dcterms:modified>
</cp:coreProperties>
</file>