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F80E2" w14:textId="77777777" w:rsidR="00AB4033" w:rsidRPr="001B11F2" w:rsidRDefault="00AB4033" w:rsidP="00A00E4D">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en-US"/>
          <w14:ligatures w14:val="none"/>
        </w:rPr>
      </w:pPr>
      <w:r w:rsidRPr="001B11F2">
        <w:rPr>
          <w:rFonts w:ascii="Times New Roman" w:eastAsia="Times New Roman" w:hAnsi="Times New Roman" w:cs="Times New Roman"/>
          <w:b/>
          <w:bCs/>
          <w:kern w:val="36"/>
          <w:sz w:val="26"/>
          <w:szCs w:val="26"/>
          <w:lang w:val="en-US"/>
          <w14:ligatures w14:val="none"/>
        </w:rPr>
        <w:t>KYRGYZ REPUBLIC</w:t>
      </w:r>
    </w:p>
    <w:p w14:paraId="4D604880" w14:textId="77777777" w:rsidR="00AB4033" w:rsidRPr="001B11F2" w:rsidRDefault="00AB4033" w:rsidP="00A00E4D">
      <w:pPr>
        <w:spacing w:before="100" w:beforeAutospacing="1" w:after="100" w:afterAutospacing="1" w:line="240" w:lineRule="auto"/>
        <w:jc w:val="center"/>
        <w:outlineLvl w:val="1"/>
        <w:rPr>
          <w:rFonts w:ascii="Times New Roman" w:eastAsia="Times New Roman" w:hAnsi="Times New Roman" w:cs="Times New Roman"/>
          <w:b/>
          <w:bCs/>
          <w:kern w:val="0"/>
          <w:sz w:val="26"/>
          <w:szCs w:val="26"/>
          <w:lang w:val="en-US"/>
          <w14:ligatures w14:val="none"/>
        </w:rPr>
      </w:pPr>
      <w:r w:rsidRPr="001B11F2">
        <w:rPr>
          <w:rFonts w:ascii="Times New Roman" w:eastAsia="Times New Roman" w:hAnsi="Times New Roman" w:cs="Times New Roman"/>
          <w:b/>
          <w:bCs/>
          <w:kern w:val="0"/>
          <w:sz w:val="26"/>
          <w:szCs w:val="26"/>
          <w:lang w:val="en-US"/>
          <w14:ligatures w14:val="none"/>
        </w:rPr>
        <w:t>“Phase 1 for the Kyrgyz Republic under the One Health Program for Pandemic Prevention, Food Systems Resilience and Ecosystem Health in Central Asia” Project</w:t>
      </w:r>
    </w:p>
    <w:p w14:paraId="01CA2DA5" w14:textId="77777777" w:rsidR="00AB4033" w:rsidRPr="001B11F2" w:rsidRDefault="00AB4033" w:rsidP="00CC6774">
      <w:pPr>
        <w:spacing w:after="120" w:line="240" w:lineRule="auto"/>
        <w:jc w:val="center"/>
        <w:outlineLvl w:val="0"/>
        <w:rPr>
          <w:rFonts w:ascii="Times New Roman" w:eastAsia="Times New Roman" w:hAnsi="Times New Roman" w:cs="Times New Roman"/>
          <w:b/>
          <w:bCs/>
          <w:kern w:val="36"/>
          <w:sz w:val="26"/>
          <w:szCs w:val="26"/>
          <w:lang w:val="en-US"/>
          <w14:ligatures w14:val="none"/>
        </w:rPr>
      </w:pPr>
      <w:r w:rsidRPr="001B11F2">
        <w:rPr>
          <w:rFonts w:ascii="Times New Roman" w:eastAsia="Times New Roman" w:hAnsi="Times New Roman" w:cs="Times New Roman"/>
          <w:b/>
          <w:bCs/>
          <w:kern w:val="36"/>
          <w:sz w:val="26"/>
          <w:szCs w:val="26"/>
          <w:lang w:val="en-US"/>
          <w14:ligatures w14:val="none"/>
        </w:rPr>
        <w:t>TERMS OF REFERENCE</w:t>
      </w:r>
    </w:p>
    <w:p w14:paraId="3CF4A4ED" w14:textId="0EC9BA0C" w:rsidR="003D5426" w:rsidRPr="001B11F2" w:rsidRDefault="00F55E40" w:rsidP="004F7EEB">
      <w:pPr>
        <w:pBdr>
          <w:bottom w:val="thinThickSmallGap" w:sz="24" w:space="1" w:color="auto"/>
        </w:pBdr>
        <w:jc w:val="center"/>
        <w:rPr>
          <w:rFonts w:ascii="Times New Roman" w:hAnsi="Times New Roman" w:cs="Times New Roman"/>
          <w:lang w:val="en-US"/>
        </w:rPr>
      </w:pPr>
      <w:r>
        <w:rPr>
          <w:rFonts w:ascii="Times New Roman" w:eastAsia="Times New Roman" w:hAnsi="Times New Roman" w:cs="Times New Roman"/>
          <w:b/>
          <w:bCs/>
          <w:kern w:val="36"/>
          <w:sz w:val="26"/>
          <w:szCs w:val="26"/>
          <w:lang w:val="en-US"/>
          <w14:ligatures w14:val="none"/>
        </w:rPr>
        <w:t xml:space="preserve">MONITORING AND EVALUATION </w:t>
      </w:r>
      <w:r w:rsidR="004F7EEB" w:rsidRPr="001B11F2">
        <w:rPr>
          <w:rFonts w:ascii="Times New Roman" w:eastAsia="Times New Roman" w:hAnsi="Times New Roman" w:cs="Times New Roman"/>
          <w:b/>
          <w:bCs/>
          <w:kern w:val="36"/>
          <w:sz w:val="26"/>
          <w:szCs w:val="26"/>
          <w:lang w:val="en-US"/>
          <w14:ligatures w14:val="none"/>
        </w:rPr>
        <w:t>SPECIALIST</w:t>
      </w:r>
    </w:p>
    <w:p w14:paraId="050F1B6A" w14:textId="77777777" w:rsidR="001E1C87" w:rsidRPr="001B11F2" w:rsidRDefault="001E1C87" w:rsidP="001E1C87">
      <w:pPr>
        <w:numPr>
          <w:ilvl w:val="0"/>
          <w:numId w:val="20"/>
        </w:numPr>
        <w:spacing w:before="100" w:beforeAutospacing="1" w:after="100" w:afterAutospacing="1" w:line="240" w:lineRule="auto"/>
        <w:jc w:val="both"/>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 xml:space="preserve">BACKGROUND  </w:t>
      </w:r>
    </w:p>
    <w:p w14:paraId="07533AAB" w14:textId="77777777" w:rsidR="009A0B03" w:rsidRPr="001B11F2"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One Health Program is an integrated and unifying framework aimed at achieving optimal health for people, animals, and ecosystems. It recognizes the interdependence of human, animal, plant, and environmental health and mobilizes various sectors and communities to address global challenges such as pandemic prevention, combating antimicrobial resistance, ensuring food safety, and environmental sustainability. This approach is essential for strengthening well-being and addressing complex public health issues in interconnected systems.</w:t>
      </w:r>
    </w:p>
    <w:p w14:paraId="1EFE71BD" w14:textId="77777777" w:rsidR="009A0B03" w:rsidRPr="001B11F2"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“Phase 1 for the Kyrgyz Republic under the One Health Program for Pandemic Prevention, Food Systems Resilience and Ecosystem Health in Central Asia” Project (hereinafter referred to as “Phase 1”) provides financing in the amount of US$31.79 million, of which US$30 million in loan proceeds are provided by the International Development Association, and grant funds in the amount of US$1.79 million are provided by the International Bank for Reconstruction and Development (acting as administrator of the Pandemic Prevention, Preparedness and Response Trust Fund). This initiative, which forms part of the World Bank’s Multiphase Programmatic Approach, is aimed at supporting the five Central Asian countries (Kazakhstan, Kyrgyz Republic, Tajikistan, Turkmenistan, and Uzbekistan) in addressing common challenges related to zoonotic diseases, antimicrobial resistance, and food safety.</w:t>
      </w:r>
    </w:p>
    <w:p w14:paraId="225E1B4E" w14:textId="77777777" w:rsidR="009A0B03" w:rsidRPr="001B11F2"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Phase 1 of the World Bank’s Multiphase Programmatic Approach is aimed at strengthening the country’s capacity to prevent, detect, and respond to zoonotic diseases, antimicrobial resistance, and food safety risks. It supports investments in national and regional One Health coordination, communication, information sharing, regulatory frameworks, knowledge development, workforce training, risk-based surveillance, prevention and response systems, laboratory capacity, and data systems.</w:t>
      </w:r>
    </w:p>
    <w:p w14:paraId="0F4A494B" w14:textId="77777777" w:rsidR="009A0B03" w:rsidRPr="001B11F2" w:rsidRDefault="009A0B03" w:rsidP="009A0B03">
      <w:pPr>
        <w:spacing w:before="100" w:beforeAutospacing="1" w:after="100" w:afterAutospacing="1" w:line="240" w:lineRule="auto"/>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Phase 1 includes four key components:</w:t>
      </w:r>
    </w:p>
    <w:p w14:paraId="2FEA8070"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Strengthening Governance under the One Health Approach</w:t>
      </w:r>
      <w:r w:rsidRPr="001B11F2">
        <w:rPr>
          <w:rFonts w:ascii="Times New Roman" w:eastAsia="Times New Roman" w:hAnsi="Times New Roman" w:cs="Times New Roman"/>
          <w:kern w:val="0"/>
          <w:lang w:val="en-US"/>
          <w14:ligatures w14:val="none"/>
        </w:rPr>
        <w:t xml:space="preserve"> – This component is aimed at establishing the foundational elements for effective governance under the One Health approach and intersectoral collaboration in the Kyrgyz Republic.</w:t>
      </w:r>
    </w:p>
    <w:p w14:paraId="524E1962"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Enhancing Knowledge and Workforce Capacity under the One Health Program</w:t>
      </w:r>
      <w:r w:rsidRPr="001B11F2">
        <w:rPr>
          <w:rFonts w:ascii="Times New Roman" w:eastAsia="Times New Roman" w:hAnsi="Times New Roman" w:cs="Times New Roman"/>
          <w:kern w:val="0"/>
          <w:lang w:val="en-US"/>
          <w14:ligatures w14:val="none"/>
        </w:rPr>
        <w:t xml:space="preserve"> – Under this component, intersectoral and sector-specific workforce strategies will be developed, and capacity-building activities for stakeholders within the country at both national and local levels will be designed and implemented. In addition, this Component will finance the development and implementation of intersectoral and sectoral assessments to generate additional evidence and expand scientific cooperation regarding the country’s capacities and needs in the areas of prevention, detection, and response to risks related to antimicrobial resistance (AMR), food safety, and zoonotic diseases.</w:t>
      </w:r>
    </w:p>
    <w:p w14:paraId="1930B67F"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Improving One Health Prevention, Detection, and Response Systems</w:t>
      </w:r>
      <w:r w:rsidRPr="001B11F2">
        <w:rPr>
          <w:rFonts w:ascii="Times New Roman" w:eastAsia="Times New Roman" w:hAnsi="Times New Roman" w:cs="Times New Roman"/>
          <w:kern w:val="0"/>
          <w:lang w:val="en-US"/>
          <w14:ligatures w14:val="none"/>
        </w:rPr>
        <w:t xml:space="preserve"> – This component is aimed at the development and strengthening of national and regional laboratory networks to support the implementation of risk-based epidemiological </w:t>
      </w:r>
      <w:r w:rsidRPr="001B11F2">
        <w:rPr>
          <w:rFonts w:ascii="Times New Roman" w:eastAsia="Times New Roman" w:hAnsi="Times New Roman" w:cs="Times New Roman"/>
          <w:kern w:val="0"/>
          <w:lang w:val="en-US"/>
          <w14:ligatures w14:val="none"/>
        </w:rPr>
        <w:lastRenderedPageBreak/>
        <w:t>surveillance and monitoring plans, as well as response measures developed under Component 1, with an initial focus on enabling implementation of the National One Health Action Plan.</w:t>
      </w:r>
    </w:p>
    <w:p w14:paraId="7CD5DD35" w14:textId="77777777" w:rsidR="009A0B03" w:rsidRPr="001B11F2"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Project Management, Monitoring and Evaluation, and Learning</w:t>
      </w:r>
      <w:r w:rsidRPr="001B11F2">
        <w:rPr>
          <w:rFonts w:ascii="Times New Roman" w:eastAsia="Times New Roman" w:hAnsi="Times New Roman" w:cs="Times New Roman"/>
          <w:kern w:val="0"/>
          <w:lang w:val="en-US"/>
          <w14:ligatures w14:val="none"/>
        </w:rPr>
        <w:t xml:space="preserve"> – Establishment of systems for managing and tracking project progress, ensuring compliance, and dissemination of knowledge.</w:t>
      </w:r>
    </w:p>
    <w:p w14:paraId="33942780" w14:textId="77777777" w:rsidR="009A0B03" w:rsidRPr="001B11F2"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executing agency for Phase 1 is the Ministry of Water Resources, Agriculture and Processing Industry of the Kyrgyz Republic (hereinafter referred to as “MWRAPI”), as well as the co-executing agencies: the Ministry of Natural Resources, Ecology and Technical Supervision of the Kyrgyz Republic (MNRETS) and the Ministry of Health of the Kyrgyz Republic (MoH). The executing agencies work closely with national and regional stakeholders to ensure effective and sustainable implementation of the One Health approach.</w:t>
      </w:r>
    </w:p>
    <w:p w14:paraId="55BC2D0B" w14:textId="77777777" w:rsidR="009A0B03" w:rsidRPr="001B11F2"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implementing entity is the Agricultural Projects Implementation Unit under the MWRAPI (hereinafter referred to as the “APIU”).</w:t>
      </w:r>
    </w:p>
    <w:p w14:paraId="642F62A4" w14:textId="2F18ED24" w:rsidR="00AB4033" w:rsidRPr="001B11F2"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Project primarily focuses on technical assistance, capacity building, procurement of laboratory equipment, construction of research centers and laboratories, as well as management of risks associated with laboratory civil works under the One Health Program</w:t>
      </w:r>
      <w:r w:rsidR="00AB4033" w:rsidRPr="001B11F2">
        <w:rPr>
          <w:rFonts w:ascii="Times New Roman" w:eastAsia="Times New Roman" w:hAnsi="Times New Roman" w:cs="Times New Roman"/>
          <w:kern w:val="0"/>
          <w:lang w:val="en-US"/>
          <w14:ligatures w14:val="none"/>
        </w:rPr>
        <w:t>.</w:t>
      </w:r>
    </w:p>
    <w:p w14:paraId="4C625826" w14:textId="77777777" w:rsidR="00AB4033" w:rsidRPr="001B11F2"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1B11F2">
        <w:rPr>
          <w:rFonts w:ascii="Times New Roman" w:eastAsia="Times New Roman" w:hAnsi="Times New Roman" w:cs="Times New Roman"/>
          <w:b/>
          <w:bCs/>
          <w:kern w:val="0"/>
          <w:lang w:val="en-US"/>
          <w14:ligatures w14:val="none"/>
        </w:rPr>
        <w:t>II. Project Objective</w:t>
      </w:r>
    </w:p>
    <w:p w14:paraId="1C09BF51"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kern w:val="0"/>
          <w:lang w:val="en-US"/>
          <w14:ligatures w14:val="none"/>
        </w:rPr>
        <w:t>The objective of Phase 1 is to strengthen the capacity for prevention, detection, and response to priority zoonotic diseases, antimicrobial resistance, and food safety issues in the Kyrgyz Republic through a regional One Health approach.</w:t>
      </w:r>
    </w:p>
    <w:p w14:paraId="3CFD5986"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Outcome 1:</w:t>
      </w:r>
      <w:r w:rsidRPr="001B11F2">
        <w:rPr>
          <w:rFonts w:ascii="Times New Roman" w:eastAsia="Times New Roman" w:hAnsi="Times New Roman" w:cs="Times New Roman"/>
          <w:kern w:val="0"/>
          <w:lang w:val="en-US"/>
          <w14:ligatures w14:val="none"/>
        </w:rPr>
        <w:t xml:space="preserve"> Improved pandemic prevention, preparedness, and response. Strengthening human and technical resources, information systems, cooperation mechanisms, and communication practices at national and regional levels is critically important for preventing, preparing for, and responding to the economic and human consequences of future pandemics.</w:t>
      </w:r>
    </w:p>
    <w:p w14:paraId="5E602E03"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Outcome 2:</w:t>
      </w:r>
      <w:r w:rsidRPr="001B11F2">
        <w:rPr>
          <w:rFonts w:ascii="Times New Roman" w:eastAsia="Times New Roman" w:hAnsi="Times New Roman" w:cs="Times New Roman"/>
          <w:kern w:val="0"/>
          <w:lang w:val="en-US"/>
          <w14:ligatures w14:val="none"/>
        </w:rPr>
        <w:t xml:space="preserve"> Enhanced food systems resilience and competitiveness of agriculture and trade. Activities ranging from farm-level practices to national and regional policy measures and cooperation frameworks for the prevention and control of zoonotic diseases, foodborne illnesses, and AMR will contribute to increased resilience and create enabling conditions for doing business in a number of key sectors supported under this Program.</w:t>
      </w:r>
    </w:p>
    <w:p w14:paraId="2AD21C1B" w14:textId="77777777" w:rsidR="00C346EA" w:rsidRPr="001B11F2"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1B11F2">
        <w:rPr>
          <w:rFonts w:ascii="Times New Roman" w:eastAsia="Times New Roman" w:hAnsi="Times New Roman" w:cs="Times New Roman"/>
          <w:b/>
          <w:bCs/>
          <w:kern w:val="0"/>
          <w:lang w:val="en-US"/>
          <w14:ligatures w14:val="none"/>
        </w:rPr>
        <w:t>Outcome 3:</w:t>
      </w:r>
      <w:r w:rsidRPr="001B11F2">
        <w:rPr>
          <w:rFonts w:ascii="Times New Roman" w:eastAsia="Times New Roman" w:hAnsi="Times New Roman" w:cs="Times New Roman"/>
          <w:kern w:val="0"/>
          <w:lang w:val="en-US"/>
          <w14:ligatures w14:val="none"/>
        </w:rPr>
        <w:t xml:space="preserve"> Improved ecosystem health. Development of regional cooperation in the area of zoonotic diseases and AMR, exchange of best practices, and strengthening of regulatory frameworks and capacities will help Central Asian countries ensure the protection of ecosystem health and prevent biodiversity loss.</w:t>
      </w:r>
    </w:p>
    <w:p w14:paraId="164EA1F4" w14:textId="77777777" w:rsidR="00797576" w:rsidRPr="00CF3509" w:rsidRDefault="00797576" w:rsidP="00E8016A">
      <w:pPr>
        <w:spacing w:before="100" w:beforeAutospacing="1" w:after="0" w:line="240" w:lineRule="auto"/>
        <w:outlineLvl w:val="2"/>
        <w:rPr>
          <w:rFonts w:ascii="Times New Roman" w:eastAsia="Times New Roman" w:hAnsi="Times New Roman" w:cs="Times New Roman"/>
          <w:b/>
          <w:bCs/>
          <w:kern w:val="0"/>
          <w:sz w:val="27"/>
          <w:szCs w:val="27"/>
          <w:lang w:val="en-US"/>
          <w14:ligatures w14:val="none"/>
        </w:rPr>
      </w:pPr>
      <w:r w:rsidRPr="00CF3509">
        <w:rPr>
          <w:rFonts w:ascii="Times New Roman" w:eastAsia="Times New Roman" w:hAnsi="Times New Roman" w:cs="Times New Roman"/>
          <w:b/>
          <w:bCs/>
          <w:kern w:val="0"/>
          <w:sz w:val="27"/>
          <w:szCs w:val="27"/>
          <w:lang w:val="en-US"/>
          <w14:ligatures w14:val="none"/>
        </w:rPr>
        <w:t>III. Scope of Work and Responsibilities of the Monitoring and Evaluation Specialist</w:t>
      </w:r>
    </w:p>
    <w:p w14:paraId="61A7CC0E" w14:textId="756DADF2" w:rsidR="00797576" w:rsidRPr="00CF3509" w:rsidRDefault="00797576" w:rsidP="00CF3509">
      <w:pPr>
        <w:numPr>
          <w:ilvl w:val="0"/>
          <w:numId w:val="24"/>
        </w:numPr>
        <w:spacing w:before="120" w:after="100" w:afterAutospacing="1" w:line="240" w:lineRule="auto"/>
        <w:ind w:left="142" w:hanging="284"/>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Develop a monitoring and evaluation methodology tailored to the One</w:t>
      </w:r>
      <w:r w:rsidR="00E8016A" w:rsidRPr="00CF3509">
        <w:rPr>
          <w:rFonts w:ascii="Times New Roman" w:eastAsia="Times New Roman" w:hAnsi="Times New Roman" w:cs="Times New Roman"/>
          <w:kern w:val="0"/>
          <w:lang w:val="en-US"/>
          <w14:ligatures w14:val="none"/>
        </w:rPr>
        <w:t xml:space="preserve"> </w:t>
      </w:r>
      <w:r w:rsidRPr="00CF3509">
        <w:rPr>
          <w:rFonts w:ascii="Times New Roman" w:eastAsia="Times New Roman" w:hAnsi="Times New Roman" w:cs="Times New Roman"/>
          <w:kern w:val="0"/>
          <w:lang w:val="en-US"/>
          <w14:ligatures w14:val="none"/>
        </w:rPr>
        <w:t>Health Project, integrating data from the health, agriculture, and environment sectors.</w:t>
      </w:r>
    </w:p>
    <w:p w14:paraId="7D4C1AAF" w14:textId="77777777"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Define data sources, frequency of information collection, and roles and responsibilities for data collection and processing. Include a dedicated subsection on data verification, providing for spot checks in the field and preparation of validation protocols to strengthen accountability and data reliability.</w:t>
      </w:r>
    </w:p>
    <w:p w14:paraId="6BA8B777" w14:textId="4B9E01AF"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lastRenderedPageBreak/>
        <w:t>Establish a monitoring system encompassing the creation, updating, and management of the Monitoring and Evaluation Plan, including the Project Logical Framework (results</w:t>
      </w:r>
      <w:r w:rsidR="00E8016A" w:rsidRPr="00CF3509">
        <w:rPr>
          <w:rFonts w:ascii="Times New Roman" w:eastAsia="Times New Roman" w:hAnsi="Times New Roman" w:cs="Times New Roman"/>
          <w:kern w:val="0"/>
          <w:lang w:val="en-US"/>
          <w14:ligatures w14:val="none"/>
        </w:rPr>
        <w:t xml:space="preserve"> </w:t>
      </w:r>
      <w:r w:rsidR="00E8016A">
        <w:rPr>
          <w:rFonts w:ascii="Times New Roman" w:eastAsia="Times New Roman" w:hAnsi="Times New Roman" w:cs="Times New Roman"/>
          <w:kern w:val="0"/>
          <w:lang w:val="en-US"/>
          <w14:ligatures w14:val="none"/>
        </w:rPr>
        <w:t>framework</w:t>
      </w:r>
      <w:r w:rsidRPr="00CF3509">
        <w:rPr>
          <w:rFonts w:ascii="Times New Roman" w:eastAsia="Times New Roman" w:hAnsi="Times New Roman" w:cs="Times New Roman"/>
          <w:kern w:val="0"/>
          <w:lang w:val="en-US"/>
          <w14:ligatures w14:val="none"/>
        </w:rPr>
        <w:t>). This shall specify methodology, data sources, frequency of collection, and roles and responsibilities for each indicator.</w:t>
      </w:r>
    </w:p>
    <w:p w14:paraId="42932EDD" w14:textId="77777777"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Ensure integration of data across sectors and compatibility of the system with other project information systems.</w:t>
      </w:r>
    </w:p>
    <w:p w14:paraId="2379BE03" w14:textId="77777777"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Prepare quarterly monitoring reports with analytical data on project implementation progress, achievement of key indicators, and recommendations.</w:t>
      </w:r>
    </w:p>
    <w:p w14:paraId="107B37E2" w14:textId="77777777"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Prepare an annual monitoring and evaluation report summarizing major trends, assessing the likelihood of achieving project objectives, and providing recommendations based on collected data.</w:t>
      </w:r>
    </w:p>
    <w:p w14:paraId="621B94D1" w14:textId="77777777"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Prepare quarterly and annual project implementation reports for submission to the World Bank, the Cabinet of Ministers of the Kyrgyz Republic, the Jogorku Kenesh, the Ministry of Finance, the Ministry of Economy and Commerce, the Ministry of Water Resources, Agriculture and Processing Industry (MWRAPI), and other agencies as requested.</w:t>
      </w:r>
    </w:p>
    <w:p w14:paraId="57290D36" w14:textId="77777777"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Coordinate activities with authorized national bodies — the Ministry of Water Resources, Agriculture and Processing Industry of the Kyrgyz Republic, as well as co</w:t>
      </w:r>
      <w:r w:rsidRPr="00CF3509">
        <w:rPr>
          <w:rFonts w:ascii="Times New Roman" w:eastAsia="Times New Roman" w:hAnsi="Times New Roman" w:cs="Times New Roman"/>
          <w:kern w:val="0"/>
          <w:lang w:val="en-US"/>
          <w14:ligatures w14:val="none"/>
        </w:rPr>
        <w:noBreakHyphen/>
        <w:t>implementing agencies: the Ministry of Natural Resources, Ecology and Technical Supervision, and the Ministry of Health — to align the Project’s monitoring and evaluation system with national data systems and support national reporting processes.</w:t>
      </w:r>
    </w:p>
    <w:p w14:paraId="5CECB10C" w14:textId="77777777" w:rsidR="00797576" w:rsidRPr="00CF3509" w:rsidRDefault="00797576" w:rsidP="00CF3509">
      <w:pPr>
        <w:numPr>
          <w:ilvl w:val="0"/>
          <w:numId w:val="24"/>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Perform other tasks as requested by the APIU Director and the Phase 1 Coordinator.</w:t>
      </w:r>
    </w:p>
    <w:p w14:paraId="7F5110CB" w14:textId="77777777" w:rsidR="00797576" w:rsidRPr="00CF3509" w:rsidRDefault="00797576" w:rsidP="00E8016A">
      <w:pPr>
        <w:spacing w:before="100" w:beforeAutospacing="1" w:after="0" w:line="240" w:lineRule="auto"/>
        <w:outlineLvl w:val="2"/>
        <w:rPr>
          <w:rFonts w:ascii="Times New Roman" w:eastAsia="Times New Roman" w:hAnsi="Times New Roman" w:cs="Times New Roman"/>
          <w:b/>
          <w:bCs/>
          <w:kern w:val="0"/>
          <w:sz w:val="27"/>
          <w:szCs w:val="27"/>
          <w:lang w:val="en-US"/>
          <w14:ligatures w14:val="none"/>
        </w:rPr>
      </w:pPr>
      <w:r w:rsidRPr="00CF3509">
        <w:rPr>
          <w:rFonts w:ascii="Times New Roman" w:eastAsia="Times New Roman" w:hAnsi="Times New Roman" w:cs="Times New Roman"/>
          <w:b/>
          <w:bCs/>
          <w:kern w:val="0"/>
          <w:sz w:val="27"/>
          <w:szCs w:val="27"/>
          <w:lang w:val="en-US"/>
          <w14:ligatures w14:val="none"/>
        </w:rPr>
        <w:t>IV. Reporting</w:t>
      </w:r>
    </w:p>
    <w:p w14:paraId="63FE2A1D" w14:textId="77777777" w:rsidR="00797576" w:rsidRPr="00CF3509" w:rsidRDefault="00797576" w:rsidP="00CF3509">
      <w:pPr>
        <w:spacing w:before="120"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The Monitoring and Evaluation Specialist shall report to the Project Coordinator and the APIU Director, who will assess the consultant’s performance. The Specialist shall provide quarterly and annual reports on activities and project implementation results.</w:t>
      </w:r>
    </w:p>
    <w:p w14:paraId="28A289CE" w14:textId="77777777" w:rsidR="00797576" w:rsidRPr="00797576" w:rsidRDefault="00797576" w:rsidP="00E8016A">
      <w:pPr>
        <w:spacing w:before="100" w:beforeAutospacing="1" w:after="0" w:line="240" w:lineRule="auto"/>
        <w:outlineLvl w:val="2"/>
        <w:rPr>
          <w:rFonts w:ascii="Times New Roman" w:eastAsia="Times New Roman" w:hAnsi="Times New Roman" w:cs="Times New Roman"/>
          <w:b/>
          <w:bCs/>
          <w:kern w:val="0"/>
          <w:sz w:val="27"/>
          <w:szCs w:val="27"/>
          <w14:ligatures w14:val="none"/>
        </w:rPr>
      </w:pPr>
      <w:r w:rsidRPr="00797576">
        <w:rPr>
          <w:rFonts w:ascii="Times New Roman" w:eastAsia="Times New Roman" w:hAnsi="Times New Roman" w:cs="Times New Roman"/>
          <w:b/>
          <w:bCs/>
          <w:kern w:val="0"/>
          <w:sz w:val="27"/>
          <w:szCs w:val="27"/>
          <w14:ligatures w14:val="none"/>
        </w:rPr>
        <w:t>V. Qualification Requirements</w:t>
      </w:r>
    </w:p>
    <w:p w14:paraId="7E8D738E" w14:textId="77777777" w:rsidR="00797576" w:rsidRPr="00797576" w:rsidRDefault="00797576" w:rsidP="00CF3509">
      <w:pPr>
        <w:numPr>
          <w:ilvl w:val="0"/>
          <w:numId w:val="25"/>
        </w:numPr>
        <w:spacing w:before="120" w:after="100" w:afterAutospacing="1" w:line="240" w:lineRule="auto"/>
        <w:ind w:left="426" w:hanging="426"/>
        <w:jc w:val="both"/>
        <w:rPr>
          <w:rFonts w:ascii="Times New Roman" w:eastAsia="Times New Roman" w:hAnsi="Times New Roman" w:cs="Times New Roman"/>
          <w:kern w:val="0"/>
          <w14:ligatures w14:val="none"/>
        </w:rPr>
      </w:pPr>
      <w:r w:rsidRPr="00CF3509">
        <w:rPr>
          <w:rFonts w:ascii="Times New Roman" w:eastAsia="Times New Roman" w:hAnsi="Times New Roman" w:cs="Times New Roman"/>
          <w:kern w:val="0"/>
          <w:lang w:val="en-US"/>
          <w14:ligatures w14:val="none"/>
        </w:rPr>
        <w:t xml:space="preserve">Higher education degree in management, economics, business administration, or a related field. </w:t>
      </w:r>
      <w:r w:rsidRPr="00797576">
        <w:rPr>
          <w:rFonts w:ascii="Times New Roman" w:eastAsia="Times New Roman" w:hAnsi="Times New Roman" w:cs="Times New Roman"/>
          <w:kern w:val="0"/>
          <w14:ligatures w14:val="none"/>
        </w:rPr>
        <w:t>A Master’s degree is an advantage.</w:t>
      </w:r>
    </w:p>
    <w:p w14:paraId="139718FB" w14:textId="77777777" w:rsidR="00797576" w:rsidRPr="00CF3509" w:rsidRDefault="00797576" w:rsidP="00CF3509">
      <w:pPr>
        <w:numPr>
          <w:ilvl w:val="0"/>
          <w:numId w:val="25"/>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At least 3 years of professional experience in developing monitoring and evaluation tools and processes within international development projects in agriculture, public health, or in the public and/or private sectors.</w:t>
      </w:r>
    </w:p>
    <w:p w14:paraId="26A61B8B" w14:textId="77777777" w:rsidR="00797576" w:rsidRPr="00CF3509" w:rsidRDefault="00797576" w:rsidP="00CF3509">
      <w:pPr>
        <w:numPr>
          <w:ilvl w:val="0"/>
          <w:numId w:val="25"/>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Knowledge of methods for recording and accounting for project achievements applied by international development institutions such as the World Bank (WB), the International Fund for Agricultural Development (IFAD), the Asian Development Bank (ADB), etc.</w:t>
      </w:r>
    </w:p>
    <w:p w14:paraId="4D7B6C7A" w14:textId="77777777" w:rsidR="00797576" w:rsidRPr="00CF3509" w:rsidRDefault="00797576" w:rsidP="00CF3509">
      <w:pPr>
        <w:numPr>
          <w:ilvl w:val="0"/>
          <w:numId w:val="25"/>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Strong analytical and problem</w:t>
      </w:r>
      <w:r w:rsidRPr="00CF3509">
        <w:rPr>
          <w:rFonts w:ascii="Times New Roman" w:eastAsia="Times New Roman" w:hAnsi="Times New Roman" w:cs="Times New Roman"/>
          <w:kern w:val="0"/>
          <w:lang w:val="en-US"/>
          <w14:ligatures w14:val="none"/>
        </w:rPr>
        <w:noBreakHyphen/>
        <w:t>solving skills; creativity in developing new systems for the Project.</w:t>
      </w:r>
    </w:p>
    <w:p w14:paraId="12FD5B04" w14:textId="77777777" w:rsidR="00797576" w:rsidRPr="00CF3509" w:rsidRDefault="00797576" w:rsidP="00CF3509">
      <w:pPr>
        <w:numPr>
          <w:ilvl w:val="0"/>
          <w:numId w:val="25"/>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Experience in developing methodologies, conducting training activities, surveys, and project planning.</w:t>
      </w:r>
    </w:p>
    <w:p w14:paraId="1C996200" w14:textId="77777777" w:rsidR="00797576" w:rsidRPr="00CF3509" w:rsidRDefault="00797576" w:rsidP="00CF3509">
      <w:pPr>
        <w:numPr>
          <w:ilvl w:val="0"/>
          <w:numId w:val="25"/>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Fluency in Kyrgyz and Russian; knowledge of English will be an advantage.</w:t>
      </w:r>
    </w:p>
    <w:p w14:paraId="435160A8" w14:textId="77777777" w:rsidR="00797576" w:rsidRPr="00CF3509" w:rsidRDefault="00797576" w:rsidP="00CF3509">
      <w:pPr>
        <w:numPr>
          <w:ilvl w:val="0"/>
          <w:numId w:val="25"/>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Computer skills: Microsoft Office (Word, Excel, PowerPoint).</w:t>
      </w:r>
    </w:p>
    <w:p w14:paraId="23F5F1E3" w14:textId="77777777" w:rsidR="00797576" w:rsidRPr="00CF3509" w:rsidRDefault="00797576" w:rsidP="00797576">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CF3509">
        <w:rPr>
          <w:rFonts w:ascii="Times New Roman" w:eastAsia="Times New Roman" w:hAnsi="Times New Roman" w:cs="Times New Roman"/>
          <w:b/>
          <w:bCs/>
          <w:kern w:val="0"/>
          <w:sz w:val="27"/>
          <w:szCs w:val="27"/>
          <w:lang w:val="en-US"/>
          <w14:ligatures w14:val="none"/>
        </w:rPr>
        <w:t>VI. Duration of Assignment</w:t>
      </w:r>
    </w:p>
    <w:p w14:paraId="0BB4131D" w14:textId="378F6E1D" w:rsidR="00EE5EA7" w:rsidRPr="009811E4" w:rsidRDefault="00797576" w:rsidP="00CF3509">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CF3509">
        <w:rPr>
          <w:rFonts w:ascii="Times New Roman" w:eastAsia="Times New Roman" w:hAnsi="Times New Roman" w:cs="Times New Roman"/>
          <w:kern w:val="0"/>
          <w:lang w:val="en-US"/>
          <w14:ligatures w14:val="none"/>
        </w:rPr>
        <w:t>The contract shall be for 12 months, with a probationary period of 3 months during which the contract may be terminated. Upon satisfactory performance, the contract may be extended beyond the initial term.</w:t>
      </w:r>
    </w:p>
    <w:sectPr w:rsidR="00EE5EA7" w:rsidRPr="009811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91C"/>
    <w:multiLevelType w:val="multilevel"/>
    <w:tmpl w:val="B36E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67B34"/>
    <w:multiLevelType w:val="multilevel"/>
    <w:tmpl w:val="8F6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31065"/>
    <w:multiLevelType w:val="multilevel"/>
    <w:tmpl w:val="5BA6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D5343"/>
    <w:multiLevelType w:val="multilevel"/>
    <w:tmpl w:val="E6D4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C63EE"/>
    <w:multiLevelType w:val="multilevel"/>
    <w:tmpl w:val="E1BA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90F92"/>
    <w:multiLevelType w:val="hybridMultilevel"/>
    <w:tmpl w:val="8BCEC7F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572443E"/>
    <w:multiLevelType w:val="multilevel"/>
    <w:tmpl w:val="8B14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262F3"/>
    <w:multiLevelType w:val="multilevel"/>
    <w:tmpl w:val="BF9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B97006"/>
    <w:multiLevelType w:val="multilevel"/>
    <w:tmpl w:val="E6FA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E16B7F"/>
    <w:multiLevelType w:val="multilevel"/>
    <w:tmpl w:val="56206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7F15B9"/>
    <w:multiLevelType w:val="multilevel"/>
    <w:tmpl w:val="FA20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1BAF"/>
    <w:multiLevelType w:val="multilevel"/>
    <w:tmpl w:val="8D04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F1ACD"/>
    <w:multiLevelType w:val="hybridMultilevel"/>
    <w:tmpl w:val="1744E22C"/>
    <w:lvl w:ilvl="0" w:tplc="A5624F14">
      <w:start w:val="1"/>
      <w:numFmt w:val="low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431A0AC7"/>
    <w:multiLevelType w:val="multilevel"/>
    <w:tmpl w:val="64F4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BD02EB"/>
    <w:multiLevelType w:val="multilevel"/>
    <w:tmpl w:val="33B2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4165EB"/>
    <w:multiLevelType w:val="multilevel"/>
    <w:tmpl w:val="553C64BE"/>
    <w:lvl w:ilvl="0">
      <w:start w:val="1"/>
      <w:numFmt w:val="bullet"/>
      <w:lvlText w:val=""/>
      <w:lvlJc w:val="left"/>
      <w:pPr>
        <w:tabs>
          <w:tab w:val="num" w:pos="372"/>
        </w:tabs>
        <w:ind w:left="372" w:hanging="360"/>
      </w:pPr>
      <w:rPr>
        <w:rFonts w:ascii="Symbol" w:hAnsi="Symbol" w:hint="default"/>
        <w:sz w:val="20"/>
      </w:rPr>
    </w:lvl>
    <w:lvl w:ilvl="1" w:tentative="1">
      <w:start w:val="1"/>
      <w:numFmt w:val="bullet"/>
      <w:lvlText w:val="o"/>
      <w:lvlJc w:val="left"/>
      <w:pPr>
        <w:tabs>
          <w:tab w:val="num" w:pos="1092"/>
        </w:tabs>
        <w:ind w:left="1092" w:hanging="360"/>
      </w:pPr>
      <w:rPr>
        <w:rFonts w:ascii="Courier New" w:hAnsi="Courier New" w:hint="default"/>
        <w:sz w:val="20"/>
      </w:rPr>
    </w:lvl>
    <w:lvl w:ilvl="2" w:tentative="1">
      <w:start w:val="1"/>
      <w:numFmt w:val="bullet"/>
      <w:lvlText w:val=""/>
      <w:lvlJc w:val="left"/>
      <w:pPr>
        <w:tabs>
          <w:tab w:val="num" w:pos="1812"/>
        </w:tabs>
        <w:ind w:left="1812" w:hanging="360"/>
      </w:pPr>
      <w:rPr>
        <w:rFonts w:ascii="Wingdings" w:hAnsi="Wingdings" w:hint="default"/>
        <w:sz w:val="20"/>
      </w:rPr>
    </w:lvl>
    <w:lvl w:ilvl="3" w:tentative="1">
      <w:start w:val="1"/>
      <w:numFmt w:val="bullet"/>
      <w:lvlText w:val=""/>
      <w:lvlJc w:val="left"/>
      <w:pPr>
        <w:tabs>
          <w:tab w:val="num" w:pos="2532"/>
        </w:tabs>
        <w:ind w:left="2532" w:hanging="360"/>
      </w:pPr>
      <w:rPr>
        <w:rFonts w:ascii="Wingdings" w:hAnsi="Wingdings" w:hint="default"/>
        <w:sz w:val="20"/>
      </w:rPr>
    </w:lvl>
    <w:lvl w:ilvl="4" w:tentative="1">
      <w:start w:val="1"/>
      <w:numFmt w:val="bullet"/>
      <w:lvlText w:val=""/>
      <w:lvlJc w:val="left"/>
      <w:pPr>
        <w:tabs>
          <w:tab w:val="num" w:pos="3252"/>
        </w:tabs>
        <w:ind w:left="3252" w:hanging="360"/>
      </w:pPr>
      <w:rPr>
        <w:rFonts w:ascii="Wingdings" w:hAnsi="Wingdings" w:hint="default"/>
        <w:sz w:val="20"/>
      </w:rPr>
    </w:lvl>
    <w:lvl w:ilvl="5" w:tentative="1">
      <w:start w:val="1"/>
      <w:numFmt w:val="bullet"/>
      <w:lvlText w:val=""/>
      <w:lvlJc w:val="left"/>
      <w:pPr>
        <w:tabs>
          <w:tab w:val="num" w:pos="3972"/>
        </w:tabs>
        <w:ind w:left="3972" w:hanging="360"/>
      </w:pPr>
      <w:rPr>
        <w:rFonts w:ascii="Wingdings" w:hAnsi="Wingdings" w:hint="default"/>
        <w:sz w:val="20"/>
      </w:rPr>
    </w:lvl>
    <w:lvl w:ilvl="6" w:tentative="1">
      <w:start w:val="1"/>
      <w:numFmt w:val="bullet"/>
      <w:lvlText w:val=""/>
      <w:lvlJc w:val="left"/>
      <w:pPr>
        <w:tabs>
          <w:tab w:val="num" w:pos="4692"/>
        </w:tabs>
        <w:ind w:left="4692" w:hanging="360"/>
      </w:pPr>
      <w:rPr>
        <w:rFonts w:ascii="Wingdings" w:hAnsi="Wingdings" w:hint="default"/>
        <w:sz w:val="20"/>
      </w:rPr>
    </w:lvl>
    <w:lvl w:ilvl="7" w:tentative="1">
      <w:start w:val="1"/>
      <w:numFmt w:val="bullet"/>
      <w:lvlText w:val=""/>
      <w:lvlJc w:val="left"/>
      <w:pPr>
        <w:tabs>
          <w:tab w:val="num" w:pos="5412"/>
        </w:tabs>
        <w:ind w:left="5412" w:hanging="360"/>
      </w:pPr>
      <w:rPr>
        <w:rFonts w:ascii="Wingdings" w:hAnsi="Wingdings" w:hint="default"/>
        <w:sz w:val="20"/>
      </w:rPr>
    </w:lvl>
    <w:lvl w:ilvl="8" w:tentative="1">
      <w:start w:val="1"/>
      <w:numFmt w:val="bullet"/>
      <w:lvlText w:val=""/>
      <w:lvlJc w:val="left"/>
      <w:pPr>
        <w:tabs>
          <w:tab w:val="num" w:pos="6132"/>
        </w:tabs>
        <w:ind w:left="6132" w:hanging="360"/>
      </w:pPr>
      <w:rPr>
        <w:rFonts w:ascii="Wingdings" w:hAnsi="Wingdings" w:hint="default"/>
        <w:sz w:val="20"/>
      </w:rPr>
    </w:lvl>
  </w:abstractNum>
  <w:abstractNum w:abstractNumId="16" w15:restartNumberingAfterBreak="0">
    <w:nsid w:val="5C9179E6"/>
    <w:multiLevelType w:val="multilevel"/>
    <w:tmpl w:val="5BAA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B1618"/>
    <w:multiLevelType w:val="hybridMultilevel"/>
    <w:tmpl w:val="ADBA2386"/>
    <w:lvl w:ilvl="0" w:tplc="2000001B">
      <w:start w:val="1"/>
      <w:numFmt w:val="lowerRoman"/>
      <w:lvlText w:val="%1."/>
      <w:lvlJc w:val="righ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62D009DF"/>
    <w:multiLevelType w:val="multilevel"/>
    <w:tmpl w:val="C3B23670"/>
    <w:lvl w:ilvl="0">
      <w:start w:val="1"/>
      <w:numFmt w:val="bullet"/>
      <w:lvlText w:val=""/>
      <w:lvlJc w:val="left"/>
      <w:pPr>
        <w:tabs>
          <w:tab w:val="num" w:pos="151"/>
        </w:tabs>
        <w:ind w:left="151" w:hanging="360"/>
      </w:pPr>
      <w:rPr>
        <w:rFonts w:ascii="Symbol" w:hAnsi="Symbol" w:hint="default"/>
        <w:sz w:val="20"/>
      </w:rPr>
    </w:lvl>
    <w:lvl w:ilvl="1" w:tentative="1">
      <w:start w:val="1"/>
      <w:numFmt w:val="bullet"/>
      <w:lvlText w:val="o"/>
      <w:lvlJc w:val="left"/>
      <w:pPr>
        <w:tabs>
          <w:tab w:val="num" w:pos="871"/>
        </w:tabs>
        <w:ind w:left="871" w:hanging="360"/>
      </w:pPr>
      <w:rPr>
        <w:rFonts w:ascii="Courier New" w:hAnsi="Courier New" w:hint="default"/>
        <w:sz w:val="20"/>
      </w:rPr>
    </w:lvl>
    <w:lvl w:ilvl="2" w:tentative="1">
      <w:start w:val="1"/>
      <w:numFmt w:val="bullet"/>
      <w:lvlText w:val=""/>
      <w:lvlJc w:val="left"/>
      <w:pPr>
        <w:tabs>
          <w:tab w:val="num" w:pos="1591"/>
        </w:tabs>
        <w:ind w:left="1591" w:hanging="360"/>
      </w:pPr>
      <w:rPr>
        <w:rFonts w:ascii="Wingdings" w:hAnsi="Wingdings" w:hint="default"/>
        <w:sz w:val="20"/>
      </w:rPr>
    </w:lvl>
    <w:lvl w:ilvl="3" w:tentative="1">
      <w:start w:val="1"/>
      <w:numFmt w:val="bullet"/>
      <w:lvlText w:val=""/>
      <w:lvlJc w:val="left"/>
      <w:pPr>
        <w:tabs>
          <w:tab w:val="num" w:pos="2311"/>
        </w:tabs>
        <w:ind w:left="2311" w:hanging="360"/>
      </w:pPr>
      <w:rPr>
        <w:rFonts w:ascii="Wingdings" w:hAnsi="Wingdings" w:hint="default"/>
        <w:sz w:val="20"/>
      </w:rPr>
    </w:lvl>
    <w:lvl w:ilvl="4" w:tentative="1">
      <w:start w:val="1"/>
      <w:numFmt w:val="bullet"/>
      <w:lvlText w:val=""/>
      <w:lvlJc w:val="left"/>
      <w:pPr>
        <w:tabs>
          <w:tab w:val="num" w:pos="3031"/>
        </w:tabs>
        <w:ind w:left="3031" w:hanging="360"/>
      </w:pPr>
      <w:rPr>
        <w:rFonts w:ascii="Wingdings" w:hAnsi="Wingdings" w:hint="default"/>
        <w:sz w:val="20"/>
      </w:rPr>
    </w:lvl>
    <w:lvl w:ilvl="5" w:tentative="1">
      <w:start w:val="1"/>
      <w:numFmt w:val="bullet"/>
      <w:lvlText w:val=""/>
      <w:lvlJc w:val="left"/>
      <w:pPr>
        <w:tabs>
          <w:tab w:val="num" w:pos="3751"/>
        </w:tabs>
        <w:ind w:left="3751" w:hanging="360"/>
      </w:pPr>
      <w:rPr>
        <w:rFonts w:ascii="Wingdings" w:hAnsi="Wingdings" w:hint="default"/>
        <w:sz w:val="20"/>
      </w:rPr>
    </w:lvl>
    <w:lvl w:ilvl="6" w:tentative="1">
      <w:start w:val="1"/>
      <w:numFmt w:val="bullet"/>
      <w:lvlText w:val=""/>
      <w:lvlJc w:val="left"/>
      <w:pPr>
        <w:tabs>
          <w:tab w:val="num" w:pos="4471"/>
        </w:tabs>
        <w:ind w:left="4471" w:hanging="360"/>
      </w:pPr>
      <w:rPr>
        <w:rFonts w:ascii="Wingdings" w:hAnsi="Wingdings" w:hint="default"/>
        <w:sz w:val="20"/>
      </w:rPr>
    </w:lvl>
    <w:lvl w:ilvl="7" w:tentative="1">
      <w:start w:val="1"/>
      <w:numFmt w:val="bullet"/>
      <w:lvlText w:val=""/>
      <w:lvlJc w:val="left"/>
      <w:pPr>
        <w:tabs>
          <w:tab w:val="num" w:pos="5191"/>
        </w:tabs>
        <w:ind w:left="5191" w:hanging="360"/>
      </w:pPr>
      <w:rPr>
        <w:rFonts w:ascii="Wingdings" w:hAnsi="Wingdings" w:hint="default"/>
        <w:sz w:val="20"/>
      </w:rPr>
    </w:lvl>
    <w:lvl w:ilvl="8" w:tentative="1">
      <w:start w:val="1"/>
      <w:numFmt w:val="bullet"/>
      <w:lvlText w:val=""/>
      <w:lvlJc w:val="left"/>
      <w:pPr>
        <w:tabs>
          <w:tab w:val="num" w:pos="5911"/>
        </w:tabs>
        <w:ind w:left="5911" w:hanging="360"/>
      </w:pPr>
      <w:rPr>
        <w:rFonts w:ascii="Wingdings" w:hAnsi="Wingdings" w:hint="default"/>
        <w:sz w:val="20"/>
      </w:rPr>
    </w:lvl>
  </w:abstractNum>
  <w:abstractNum w:abstractNumId="19" w15:restartNumberingAfterBreak="0">
    <w:nsid w:val="68054AB3"/>
    <w:multiLevelType w:val="multilevel"/>
    <w:tmpl w:val="E0BA0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79627B"/>
    <w:multiLevelType w:val="multilevel"/>
    <w:tmpl w:val="CE3E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D70D50"/>
    <w:multiLevelType w:val="multilevel"/>
    <w:tmpl w:val="DAB8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2A3314"/>
    <w:multiLevelType w:val="multilevel"/>
    <w:tmpl w:val="A46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F21B5E"/>
    <w:multiLevelType w:val="hybridMultilevel"/>
    <w:tmpl w:val="FCD86E9A"/>
    <w:lvl w:ilvl="0" w:tplc="20000001">
      <w:start w:val="1"/>
      <w:numFmt w:val="bullet"/>
      <w:lvlText w:val=""/>
      <w:lvlJc w:val="left"/>
      <w:pPr>
        <w:ind w:left="720" w:hanging="360"/>
      </w:pPr>
      <w:rPr>
        <w:rFonts w:ascii="Symbol" w:hAnsi="Symbol" w:hint="default"/>
      </w:rPr>
    </w:lvl>
    <w:lvl w:ilvl="1" w:tplc="6E1C94C4">
      <w:numFmt w:val="bullet"/>
      <w:lvlText w:val="•"/>
      <w:lvlJc w:val="left"/>
      <w:pPr>
        <w:ind w:left="1800" w:hanging="72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A2E7DEF"/>
    <w:multiLevelType w:val="multilevel"/>
    <w:tmpl w:val="0884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55406">
    <w:abstractNumId w:val="20"/>
  </w:num>
  <w:num w:numId="2" w16cid:durableId="1177965989">
    <w:abstractNumId w:val="21"/>
  </w:num>
  <w:num w:numId="3" w16cid:durableId="1177889534">
    <w:abstractNumId w:val="14"/>
  </w:num>
  <w:num w:numId="4" w16cid:durableId="1623883110">
    <w:abstractNumId w:val="23"/>
  </w:num>
  <w:num w:numId="5" w16cid:durableId="1191454995">
    <w:abstractNumId w:val="19"/>
  </w:num>
  <w:num w:numId="6" w16cid:durableId="1155342678">
    <w:abstractNumId w:val="22"/>
  </w:num>
  <w:num w:numId="7" w16cid:durableId="1715154956">
    <w:abstractNumId w:val="3"/>
  </w:num>
  <w:num w:numId="8" w16cid:durableId="1611425325">
    <w:abstractNumId w:val="9"/>
  </w:num>
  <w:num w:numId="9" w16cid:durableId="1103110136">
    <w:abstractNumId w:val="2"/>
  </w:num>
  <w:num w:numId="10" w16cid:durableId="470908229">
    <w:abstractNumId w:val="10"/>
  </w:num>
  <w:num w:numId="11" w16cid:durableId="1672832040">
    <w:abstractNumId w:val="8"/>
  </w:num>
  <w:num w:numId="12" w16cid:durableId="751466233">
    <w:abstractNumId w:val="7"/>
  </w:num>
  <w:num w:numId="13" w16cid:durableId="1788891741">
    <w:abstractNumId w:val="13"/>
  </w:num>
  <w:num w:numId="14" w16cid:durableId="1906790671">
    <w:abstractNumId w:val="24"/>
  </w:num>
  <w:num w:numId="15" w16cid:durableId="392851937">
    <w:abstractNumId w:val="16"/>
  </w:num>
  <w:num w:numId="16" w16cid:durableId="514155753">
    <w:abstractNumId w:val="4"/>
  </w:num>
  <w:num w:numId="17" w16cid:durableId="989285698">
    <w:abstractNumId w:val="1"/>
  </w:num>
  <w:num w:numId="18" w16cid:durableId="592512264">
    <w:abstractNumId w:val="6"/>
  </w:num>
  <w:num w:numId="19" w16cid:durableId="1121218193">
    <w:abstractNumId w:val="11"/>
  </w:num>
  <w:num w:numId="20" w16cid:durableId="173805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8277601">
    <w:abstractNumId w:val="0"/>
  </w:num>
  <w:num w:numId="22" w16cid:durableId="1351371255">
    <w:abstractNumId w:val="17"/>
  </w:num>
  <w:num w:numId="23" w16cid:durableId="815415478">
    <w:abstractNumId w:val="12"/>
  </w:num>
  <w:num w:numId="24" w16cid:durableId="1767312263">
    <w:abstractNumId w:val="18"/>
  </w:num>
  <w:num w:numId="25" w16cid:durableId="7049137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6"/>
    <w:rsid w:val="00035F70"/>
    <w:rsid w:val="000370D2"/>
    <w:rsid w:val="0007442B"/>
    <w:rsid w:val="000A5E58"/>
    <w:rsid w:val="000D037D"/>
    <w:rsid w:val="00170972"/>
    <w:rsid w:val="001B11F2"/>
    <w:rsid w:val="001E031E"/>
    <w:rsid w:val="001E1C87"/>
    <w:rsid w:val="001F2559"/>
    <w:rsid w:val="00226E59"/>
    <w:rsid w:val="00235EBE"/>
    <w:rsid w:val="00262CBC"/>
    <w:rsid w:val="002633F1"/>
    <w:rsid w:val="00273A99"/>
    <w:rsid w:val="00274B00"/>
    <w:rsid w:val="002959A1"/>
    <w:rsid w:val="002C6A3D"/>
    <w:rsid w:val="00301AD6"/>
    <w:rsid w:val="00325A52"/>
    <w:rsid w:val="00327EB2"/>
    <w:rsid w:val="003D5426"/>
    <w:rsid w:val="003D677E"/>
    <w:rsid w:val="003E5301"/>
    <w:rsid w:val="003F2E8E"/>
    <w:rsid w:val="00433FBE"/>
    <w:rsid w:val="0044362D"/>
    <w:rsid w:val="004518F6"/>
    <w:rsid w:val="00452526"/>
    <w:rsid w:val="004659E8"/>
    <w:rsid w:val="004825AB"/>
    <w:rsid w:val="004B0852"/>
    <w:rsid w:val="004D30C0"/>
    <w:rsid w:val="004D75A7"/>
    <w:rsid w:val="004F7EEB"/>
    <w:rsid w:val="0050528D"/>
    <w:rsid w:val="00594C0D"/>
    <w:rsid w:val="005A6EB8"/>
    <w:rsid w:val="005C1EF4"/>
    <w:rsid w:val="006138D9"/>
    <w:rsid w:val="0062779E"/>
    <w:rsid w:val="00653A6D"/>
    <w:rsid w:val="006960F6"/>
    <w:rsid w:val="006A30B6"/>
    <w:rsid w:val="006A6364"/>
    <w:rsid w:val="006B169C"/>
    <w:rsid w:val="006C4E84"/>
    <w:rsid w:val="006E011B"/>
    <w:rsid w:val="007103F2"/>
    <w:rsid w:val="00720916"/>
    <w:rsid w:val="00722E0F"/>
    <w:rsid w:val="007455D0"/>
    <w:rsid w:val="007639B3"/>
    <w:rsid w:val="0078671E"/>
    <w:rsid w:val="00797576"/>
    <w:rsid w:val="007D21A5"/>
    <w:rsid w:val="00805044"/>
    <w:rsid w:val="00806D77"/>
    <w:rsid w:val="00830C32"/>
    <w:rsid w:val="008523BA"/>
    <w:rsid w:val="008921F0"/>
    <w:rsid w:val="008E51A1"/>
    <w:rsid w:val="00923FBE"/>
    <w:rsid w:val="00926E54"/>
    <w:rsid w:val="0093130D"/>
    <w:rsid w:val="00942661"/>
    <w:rsid w:val="009551CD"/>
    <w:rsid w:val="00962471"/>
    <w:rsid w:val="009723FA"/>
    <w:rsid w:val="00977CDE"/>
    <w:rsid w:val="009811E4"/>
    <w:rsid w:val="009A0B03"/>
    <w:rsid w:val="00A00E4D"/>
    <w:rsid w:val="00A14699"/>
    <w:rsid w:val="00A32C6E"/>
    <w:rsid w:val="00A33EAA"/>
    <w:rsid w:val="00A3482B"/>
    <w:rsid w:val="00A473D4"/>
    <w:rsid w:val="00A6547E"/>
    <w:rsid w:val="00AA1AF3"/>
    <w:rsid w:val="00AB4033"/>
    <w:rsid w:val="00AB576A"/>
    <w:rsid w:val="00B10E8E"/>
    <w:rsid w:val="00B1313B"/>
    <w:rsid w:val="00B212E1"/>
    <w:rsid w:val="00B4253F"/>
    <w:rsid w:val="00B5619F"/>
    <w:rsid w:val="00B94D19"/>
    <w:rsid w:val="00BB02A3"/>
    <w:rsid w:val="00C346EA"/>
    <w:rsid w:val="00C501C3"/>
    <w:rsid w:val="00C80E9F"/>
    <w:rsid w:val="00C915E0"/>
    <w:rsid w:val="00CC1D32"/>
    <w:rsid w:val="00CC6774"/>
    <w:rsid w:val="00CC79FD"/>
    <w:rsid w:val="00CE0823"/>
    <w:rsid w:val="00CE5674"/>
    <w:rsid w:val="00CF2DCE"/>
    <w:rsid w:val="00CF3509"/>
    <w:rsid w:val="00D522EA"/>
    <w:rsid w:val="00D715CA"/>
    <w:rsid w:val="00D74D95"/>
    <w:rsid w:val="00DD32AD"/>
    <w:rsid w:val="00DE5F32"/>
    <w:rsid w:val="00E23B14"/>
    <w:rsid w:val="00E432D3"/>
    <w:rsid w:val="00E60FE1"/>
    <w:rsid w:val="00E64A18"/>
    <w:rsid w:val="00E66CE5"/>
    <w:rsid w:val="00E8016A"/>
    <w:rsid w:val="00E86F54"/>
    <w:rsid w:val="00E94305"/>
    <w:rsid w:val="00EB4549"/>
    <w:rsid w:val="00ED466B"/>
    <w:rsid w:val="00EE5EA7"/>
    <w:rsid w:val="00EE7D1A"/>
    <w:rsid w:val="00F317E0"/>
    <w:rsid w:val="00F54D07"/>
    <w:rsid w:val="00F55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BBCC"/>
  <w15:chartTrackingRefBased/>
  <w15:docId w15:val="{9B7CE096-44F7-4F9A-9D57-AB02311F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426"/>
    <w:rPr>
      <w:lang w:val="ru-RU"/>
    </w:rPr>
  </w:style>
  <w:style w:type="paragraph" w:styleId="1">
    <w:name w:val="heading 1"/>
    <w:basedOn w:val="a"/>
    <w:next w:val="a"/>
    <w:link w:val="10"/>
    <w:uiPriority w:val="9"/>
    <w:qFormat/>
    <w:rsid w:val="006A30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30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30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30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30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30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30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30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30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0B6"/>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6A30B6"/>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6A30B6"/>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6A30B6"/>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6A30B6"/>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6A30B6"/>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6A30B6"/>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6A30B6"/>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6A30B6"/>
    <w:rPr>
      <w:rFonts w:eastAsiaTheme="majorEastAsia" w:cstheme="majorBidi"/>
      <w:color w:val="272727" w:themeColor="text1" w:themeTint="D8"/>
      <w:lang w:val="ru-RU"/>
    </w:rPr>
  </w:style>
  <w:style w:type="paragraph" w:styleId="a3">
    <w:name w:val="Title"/>
    <w:basedOn w:val="a"/>
    <w:next w:val="a"/>
    <w:link w:val="a4"/>
    <w:uiPriority w:val="10"/>
    <w:qFormat/>
    <w:rsid w:val="006A3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30B6"/>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6A30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30B6"/>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6A30B6"/>
    <w:pPr>
      <w:spacing w:before="160"/>
      <w:jc w:val="center"/>
    </w:pPr>
    <w:rPr>
      <w:i/>
      <w:iCs/>
      <w:color w:val="404040" w:themeColor="text1" w:themeTint="BF"/>
    </w:rPr>
  </w:style>
  <w:style w:type="character" w:customStyle="1" w:styleId="22">
    <w:name w:val="Цитата 2 Знак"/>
    <w:basedOn w:val="a0"/>
    <w:link w:val="21"/>
    <w:uiPriority w:val="29"/>
    <w:rsid w:val="006A30B6"/>
    <w:rPr>
      <w:i/>
      <w:iCs/>
      <w:color w:val="404040" w:themeColor="text1" w:themeTint="BF"/>
      <w:lang w:val="ru-RU"/>
    </w:rPr>
  </w:style>
  <w:style w:type="paragraph" w:styleId="a7">
    <w:name w:val="List Paragraph"/>
    <w:basedOn w:val="a"/>
    <w:uiPriority w:val="34"/>
    <w:qFormat/>
    <w:rsid w:val="006A30B6"/>
    <w:pPr>
      <w:ind w:left="720"/>
      <w:contextualSpacing/>
    </w:pPr>
  </w:style>
  <w:style w:type="character" w:styleId="a8">
    <w:name w:val="Intense Emphasis"/>
    <w:basedOn w:val="a0"/>
    <w:uiPriority w:val="21"/>
    <w:qFormat/>
    <w:rsid w:val="006A30B6"/>
    <w:rPr>
      <w:i/>
      <w:iCs/>
      <w:color w:val="2F5496" w:themeColor="accent1" w:themeShade="BF"/>
    </w:rPr>
  </w:style>
  <w:style w:type="paragraph" w:styleId="a9">
    <w:name w:val="Intense Quote"/>
    <w:basedOn w:val="a"/>
    <w:next w:val="a"/>
    <w:link w:val="aa"/>
    <w:uiPriority w:val="30"/>
    <w:qFormat/>
    <w:rsid w:val="006A30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30B6"/>
    <w:rPr>
      <w:i/>
      <w:iCs/>
      <w:color w:val="2F5496" w:themeColor="accent1" w:themeShade="BF"/>
      <w:lang w:val="ru-RU"/>
    </w:rPr>
  </w:style>
  <w:style w:type="character" w:styleId="ab">
    <w:name w:val="Intense Reference"/>
    <w:basedOn w:val="a0"/>
    <w:uiPriority w:val="32"/>
    <w:qFormat/>
    <w:rsid w:val="006A30B6"/>
    <w:rPr>
      <w:b/>
      <w:bCs/>
      <w:smallCaps/>
      <w:color w:val="2F5496" w:themeColor="accent1" w:themeShade="BF"/>
      <w:spacing w:val="5"/>
    </w:rPr>
  </w:style>
  <w:style w:type="paragraph" w:styleId="ac">
    <w:name w:val="Revision"/>
    <w:hidden/>
    <w:uiPriority w:val="99"/>
    <w:semiHidden/>
    <w:rsid w:val="00301AD6"/>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1428</Words>
  <Characters>8145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Ainura Kenjekaraeva</cp:lastModifiedBy>
  <cp:revision>2</cp:revision>
  <dcterms:created xsi:type="dcterms:W3CDTF">2026-07-23T18:15:00Z</dcterms:created>
  <dcterms:modified xsi:type="dcterms:W3CDTF">2026-07-23T18:15:00Z</dcterms:modified>
</cp:coreProperties>
</file>